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6" w:rsidRPr="00295561" w:rsidRDefault="00307576" w:rsidP="00922E7F">
      <w:pPr>
        <w:spacing w:after="0" w:line="240" w:lineRule="auto"/>
        <w:ind w:left="851"/>
        <w:jc w:val="center"/>
        <w:rPr>
          <w:b/>
          <w:bCs/>
          <w:color w:val="B2A1C7" w:themeColor="accent4" w:themeTint="99"/>
          <w:sz w:val="28"/>
          <w:szCs w:val="28"/>
        </w:rPr>
      </w:pPr>
      <w:bookmarkStart w:id="0" w:name="_GoBack"/>
      <w:bookmarkEnd w:id="0"/>
      <w:r w:rsidRPr="00295561">
        <w:rPr>
          <w:b/>
          <w:bCs/>
          <w:color w:val="B2A1C7" w:themeColor="accent4" w:themeTint="99"/>
          <w:sz w:val="28"/>
          <w:szCs w:val="28"/>
        </w:rPr>
        <w:t>Tabla de A</w:t>
      </w:r>
      <w:r w:rsidR="00926FAD" w:rsidRPr="00295561">
        <w:rPr>
          <w:b/>
          <w:bCs/>
          <w:color w:val="B2A1C7" w:themeColor="accent4" w:themeTint="99"/>
          <w:sz w:val="28"/>
          <w:szCs w:val="28"/>
        </w:rPr>
        <w:t>plica</w:t>
      </w:r>
      <w:r w:rsidRPr="00295561">
        <w:rPr>
          <w:b/>
          <w:bCs/>
          <w:color w:val="B2A1C7" w:themeColor="accent4" w:themeTint="99"/>
          <w:sz w:val="28"/>
          <w:szCs w:val="28"/>
        </w:rPr>
        <w:t>bilidad de las Obligaciones de T</w:t>
      </w:r>
      <w:r w:rsidR="00926FAD" w:rsidRPr="00295561">
        <w:rPr>
          <w:b/>
          <w:bCs/>
          <w:color w:val="B2A1C7" w:themeColor="accent4" w:themeTint="99"/>
          <w:sz w:val="28"/>
          <w:szCs w:val="28"/>
        </w:rPr>
        <w:t xml:space="preserve">ransparencia </w:t>
      </w:r>
      <w:r w:rsidRPr="00295561">
        <w:rPr>
          <w:b/>
          <w:bCs/>
          <w:color w:val="B2A1C7" w:themeColor="accent4" w:themeTint="99"/>
          <w:sz w:val="28"/>
          <w:szCs w:val="28"/>
        </w:rPr>
        <w:t>C</w:t>
      </w:r>
      <w:r w:rsidR="0091347C" w:rsidRPr="00295561">
        <w:rPr>
          <w:b/>
          <w:bCs/>
          <w:color w:val="B2A1C7" w:themeColor="accent4" w:themeTint="99"/>
          <w:sz w:val="28"/>
          <w:szCs w:val="28"/>
        </w:rPr>
        <w:t xml:space="preserve">omunes </w:t>
      </w:r>
      <w:r w:rsidR="00F307FE" w:rsidRPr="00295561">
        <w:rPr>
          <w:b/>
          <w:bCs/>
          <w:color w:val="B2A1C7" w:themeColor="accent4" w:themeTint="99"/>
          <w:sz w:val="28"/>
          <w:szCs w:val="28"/>
        </w:rPr>
        <w:t xml:space="preserve">de </w:t>
      </w:r>
    </w:p>
    <w:p w:rsidR="00EB76C4" w:rsidRPr="00295561" w:rsidRDefault="00F307FE" w:rsidP="00922E7F">
      <w:pPr>
        <w:spacing w:after="0" w:line="240" w:lineRule="auto"/>
        <w:ind w:left="851"/>
        <w:jc w:val="center"/>
        <w:rPr>
          <w:b/>
          <w:bCs/>
          <w:color w:val="B2A1C7" w:themeColor="accent4" w:themeTint="99"/>
          <w:sz w:val="28"/>
          <w:szCs w:val="28"/>
        </w:rPr>
      </w:pPr>
      <w:r w:rsidRPr="00295561">
        <w:rPr>
          <w:b/>
          <w:bCs/>
          <w:color w:val="B2A1C7" w:themeColor="accent4" w:themeTint="99"/>
          <w:sz w:val="28"/>
          <w:szCs w:val="28"/>
        </w:rPr>
        <w:t>&lt;&lt;</w:t>
      </w:r>
      <w:r w:rsidR="00307576" w:rsidRPr="00295561">
        <w:rPr>
          <w:b/>
          <w:bCs/>
          <w:color w:val="B2A1C7" w:themeColor="accent4" w:themeTint="99"/>
          <w:sz w:val="28"/>
          <w:szCs w:val="28"/>
        </w:rPr>
        <w:t>Partido Acción Nacional</w:t>
      </w:r>
      <w:r w:rsidRPr="00295561">
        <w:rPr>
          <w:b/>
          <w:bCs/>
          <w:color w:val="B2A1C7" w:themeColor="accent4" w:themeTint="99"/>
          <w:sz w:val="28"/>
          <w:szCs w:val="28"/>
        </w:rPr>
        <w:t>&gt;&gt;</w:t>
      </w:r>
    </w:p>
    <w:p w:rsidR="00554264" w:rsidRPr="00295561" w:rsidRDefault="00554264" w:rsidP="00667E9A">
      <w:pPr>
        <w:spacing w:after="0" w:line="240" w:lineRule="auto"/>
        <w:ind w:left="851"/>
        <w:jc w:val="both"/>
        <w:rPr>
          <w:i/>
          <w:color w:val="B2A1C7" w:themeColor="accent4" w:themeTint="99"/>
        </w:rPr>
      </w:pPr>
    </w:p>
    <w:p w:rsidR="00667E9A" w:rsidRPr="00295561" w:rsidRDefault="00667E9A" w:rsidP="00DC580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561">
        <w:rPr>
          <w:b/>
          <w:bCs/>
          <w:color w:val="B2A1C7" w:themeColor="accent4" w:themeTint="99"/>
        </w:rPr>
        <w:t xml:space="preserve">Artículo </w:t>
      </w:r>
      <w:r w:rsidR="00DC5804" w:rsidRPr="00295561">
        <w:rPr>
          <w:b/>
          <w:bCs/>
          <w:color w:val="B2A1C7" w:themeColor="accent4" w:themeTint="99"/>
        </w:rPr>
        <w:t>95</w:t>
      </w:r>
      <w:r w:rsidRPr="00295561">
        <w:rPr>
          <w:b/>
          <w:bCs/>
          <w:color w:val="B2A1C7" w:themeColor="accent4" w:themeTint="99"/>
        </w:rPr>
        <w:t>.</w:t>
      </w:r>
      <w:r w:rsidRPr="00295561">
        <w:t xml:space="preserve"> </w:t>
      </w:r>
      <w:r w:rsidR="00DC5804" w:rsidRPr="00295561">
        <w:rPr>
          <w:rFonts w:cs="Arial"/>
        </w:rPr>
        <w:t>Los sujetos obligados pondrán a disposición del público y actualizarán en forma permanente la información en los respectivos medios electrónicos, de acuerdo con sus facultades, atribuciones, funciones u objeto social según corresponda</w:t>
      </w:r>
      <w:r w:rsidR="00307576" w:rsidRPr="00295561">
        <w:t>, por lo menos</w:t>
      </w:r>
      <w:r w:rsidRPr="00295561">
        <w:t xml:space="preserve"> de los temas, documentos y políticas que a continuación se señalan:</w:t>
      </w:r>
      <w:r w:rsidRPr="00295561">
        <w:rPr>
          <w:b/>
          <w:bCs/>
          <w:color w:val="60497A"/>
        </w:rPr>
        <w:t xml:space="preserve"> </w:t>
      </w:r>
    </w:p>
    <w:p w:rsidR="00864C64" w:rsidRPr="00295561" w:rsidRDefault="00864C64" w:rsidP="00667E9A">
      <w:pPr>
        <w:spacing w:after="0" w:line="240" w:lineRule="auto"/>
        <w:ind w:left="851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65"/>
        <w:gridCol w:w="1467"/>
        <w:gridCol w:w="1467"/>
        <w:gridCol w:w="752"/>
        <w:gridCol w:w="2945"/>
        <w:gridCol w:w="2866"/>
        <w:gridCol w:w="2684"/>
      </w:tblGrid>
      <w:tr w:rsidR="00951EA4" w:rsidRPr="00295561" w:rsidTr="000E3D69">
        <w:trPr>
          <w:trHeight w:val="132"/>
          <w:tblHeader/>
        </w:trPr>
        <w:tc>
          <w:tcPr>
            <w:tcW w:w="367" w:type="pct"/>
            <w:vMerge w:val="restart"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auto" w:fill="CCC0D9"/>
            <w:vAlign w:val="center"/>
            <w:hideMark/>
          </w:tcPr>
          <w:p w:rsidR="00951EA4" w:rsidRPr="00295561" w:rsidRDefault="00A83D2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oder de gobierno</w:t>
            </w: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17" w:type="pct"/>
            <w:gridSpan w:val="4"/>
            <w:shd w:val="clear" w:color="auto" w:fill="CCC0D9"/>
            <w:vAlign w:val="center"/>
            <w:hideMark/>
          </w:tcPr>
          <w:p w:rsidR="00951EA4" w:rsidRPr="00295561" w:rsidRDefault="00763AE2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LTAIPES</w:t>
            </w:r>
          </w:p>
        </w:tc>
      </w:tr>
      <w:tr w:rsidR="000E3D69" w:rsidRPr="00295561" w:rsidTr="000E3D69">
        <w:trPr>
          <w:trHeight w:val="1334"/>
          <w:tblHeader/>
        </w:trPr>
        <w:tc>
          <w:tcPr>
            <w:tcW w:w="367" w:type="pct"/>
            <w:vMerge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21" w:type="pct"/>
            <w:shd w:val="clear" w:color="auto" w:fill="CCC0D9"/>
            <w:vAlign w:val="center"/>
            <w:hideMark/>
          </w:tcPr>
          <w:p w:rsidR="00951EA4" w:rsidRPr="00295561" w:rsidRDefault="00951EA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Área(s) o unidad(es) administrativa(s) </w:t>
            </w:r>
            <w:r w:rsidR="00307576"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que </w:t>
            </w:r>
            <w:r w:rsidRPr="002955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genera(n) o posee(n) la información</w:t>
            </w:r>
          </w:p>
        </w:tc>
      </w:tr>
      <w:tr w:rsidR="0091347C" w:rsidRPr="00295561" w:rsidTr="00307576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91347C" w:rsidRPr="00295561" w:rsidRDefault="00873778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Estatal</w:t>
            </w: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91347C" w:rsidRPr="00295561" w:rsidRDefault="00652FB8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Partidos P</w:t>
            </w:r>
            <w:r w:rsidR="0091347C"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olíticos</w:t>
            </w:r>
            <w:r w:rsidR="0091347C"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91347C"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hideMark/>
          </w:tcPr>
          <w:p w:rsidR="00423135" w:rsidRPr="00295561" w:rsidRDefault="00307576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</w:t>
            </w:r>
            <w:r w:rsidR="00423135" w:rsidRPr="002955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artidos Políticos</w:t>
            </w:r>
          </w:p>
          <w:p w:rsidR="00423135" w:rsidRPr="00295561" w:rsidRDefault="00652FB8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7576"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(Partido Acción Nacional)</w:t>
            </w:r>
          </w:p>
          <w:p w:rsidR="00423135" w:rsidRPr="00295561" w:rsidRDefault="0042313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1347C" w:rsidRPr="00295561" w:rsidRDefault="00CA082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053E9" w:rsidRPr="00295561" w:rsidRDefault="009053E9" w:rsidP="009053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="000E3414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  <w:p w:rsidR="0091347C" w:rsidRPr="00295561" w:rsidRDefault="0091347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0E3414">
        <w:trPr>
          <w:trHeight w:val="732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A61DE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053E9" w:rsidRPr="00295561" w:rsidRDefault="000E3414" w:rsidP="009053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A349E7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directorio de todos los servidores p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úblicos, a partir del nivel de jefe de departamento o s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u equivalente, o de menor nivel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lastRenderedPageBreak/>
              <w:t>cuand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o se brinde atención al público,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manej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en o apliquen recursos públicos,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realicen actos de autoridad o presten servicios profesionales bajo el régimen de confianza u honorarios y personal de bas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e. El directorio deberá incluir</w:t>
            </w:r>
            <w:r w:rsidR="00A61DEC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No 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A61DEC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 información curricular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del servidor público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, así como el perfil del puesto,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9053E9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A349E7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listado de servidores p</w:t>
            </w:r>
            <w:r w:rsidR="00D9164E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5678D1" w:rsidRPr="00295561" w:rsidRDefault="005678D1" w:rsidP="00307576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734655" w:rsidRPr="00295561" w:rsidTr="00285FEB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D9164E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 remuneración bruta y neta de todos los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servidores p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úblicos de base o de confianza, o miembro de los sujetos obligados,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34655" w:rsidRPr="00295561" w:rsidTr="00307576">
        <w:trPr>
          <w:trHeight w:val="2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CE2EC3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A349E7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 información en versión p</w:t>
            </w:r>
            <w:r w:rsidR="001C1B1A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ública de las decl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araciones patrimoniales de los servidores p</w:t>
            </w:r>
            <w:r w:rsidR="001C1B1A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D1171F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</w:p>
        </w:tc>
      </w:tr>
      <w:tr w:rsidR="00734655" w:rsidRPr="00295561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nombramientos, comisiones y licencias de los servidores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6636F0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6636F0">
            <w:pPr>
              <w:tabs>
                <w:tab w:val="center" w:pos="46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Nombre, nombramiento, fotografía, domicilio, teléfono y correo electrónico oficiales de las personas que integran la Unidad de Transparencia y el Comité de Transparencia, así como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9053E9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 de Transparencia</w:t>
            </w:r>
          </w:p>
        </w:tc>
      </w:tr>
      <w:tr w:rsidR="00734655" w:rsidRPr="00295561" w:rsidTr="00285FEB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actas y resoluciones del Comité de Transparencia;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290763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 de Transparencia</w:t>
            </w:r>
          </w:p>
        </w:tc>
      </w:tr>
      <w:tr w:rsidR="00734655" w:rsidRPr="00295561" w:rsidTr="00285FEB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Las solicitudes de acceso a la información pública, las respuestas otorgadas a éstas, o en su caso, las respuestas entregadas </w:t>
            </w:r>
            <w:r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por los sujetos obligados en cumplimiento de las resoluciones dictadas por la Comisión;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6636F0" w:rsidRPr="00295561" w:rsidRDefault="00290763" w:rsidP="006636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>Unidad de Transparencia</w:t>
            </w:r>
          </w:p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convocatorias a concursos para ocupar cargos públicos y los resultados de los mismos, de acuerdo a la normativa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0E3414" w:rsidP="00827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734655" w:rsidRPr="00295561" w:rsidTr="00285FEB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Actas de entrega recepción;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4736CB" w:rsidP="000E341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="006636F0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827070">
        <w:trPr>
          <w:trHeight w:val="811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1C1B1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 xml:space="preserve">El marco normativo aplicable al sujeto obligado, en el que deberán incluirse leyes, códigos, reglamentos, decretos de creación, manuales administrativos de organización, operación, procedimientos, de calidad o de cualquier índole, reglas de operación, criterios, políticas, acuerdos o resoluciones de la Comisión en relación a sus </w:t>
            </w:r>
            <w:r w:rsidRPr="002955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obligaciones de transparencia, entre otros ordenamientos;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827070" w:rsidRPr="00295561" w:rsidRDefault="000E3414" w:rsidP="0082707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3414" w:rsidRPr="00295561" w:rsidTr="000E3414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condiciones generales de trabajo, contratos o convenios que regulen las relaciones laborales del personal de base o de confianza, así como los recursos públicos económicos, en especie o donativos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097D0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97D0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97D0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convenios suscritos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097D0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97D0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97D0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0E3414" w:rsidRPr="00295561" w:rsidRDefault="000E3414" w:rsidP="000E341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097D0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97D0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97D0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0F5A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F5A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F5A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normativa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spacing w:after="0"/>
              <w:jc w:val="center"/>
            </w:pPr>
            <w:r w:rsidRPr="000F5A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F5A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F5A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spacing w:after="0"/>
              <w:jc w:val="center"/>
            </w:pPr>
            <w:r w:rsidRPr="000F5A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F5A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F5A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ingresos recibidos por cualquier concepto señalando el nombre de los responsables de recibirlos, administrarlos y ejercerlos,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0F5A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0F5A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0F5A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734655" w:rsidRPr="00295561" w:rsidTr="00285FEB">
        <w:trPr>
          <w:trHeight w:val="1434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07F0F" w:rsidP="00307576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Relación de personas físicas o morales que hayan recibido recursos públicos, incluyendo f</w:t>
            </w:r>
            <w:r w:rsidR="00A349E7"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echa, nombre o razón social, la</w:t>
            </w:r>
            <w:r w:rsidRPr="002955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descripción del concepto y monto;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365E3B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0E341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734655" w:rsidRPr="00295561" w:rsidTr="00285FEB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07F0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montos, criterios, convocatorias y listado de personas físicas o morales a quienes por cualquier motivo se les asigne o permita usar recursos públicos o que en los términos de las disposiciones aplicables realicen actos de autoridad, así como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AF4C8B">
        <w:trPr>
          <w:trHeight w:val="2229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07F0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contrataciones de servicios profesionales por honorarios, señalando los nombres de los prestadores de servicios, los servicios contratados o subcontratados por estos,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0E341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listado de jubilados y pensionados, y el monto que reciben;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De acuerdo al lineamiento técnico, se deberá indicar un hipervínculo a la información de referencia, publicada por la entidad pública responsable y que en el ejercicio de sus atribuciones es la encargada de generarla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2A29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2A296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A29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montos destinados a gastos relativos a comunicación social y publicidad oficial desglosada por fecha,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2A29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2A296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A29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Relación de arrendamientos desglosado por nombre del arrendador, uso del inmueble, ubicación e importe mensual de la renta;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2A29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2A2961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A29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734655" w:rsidRPr="00295561" w:rsidTr="00285FEB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44DD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gastos de representación y viáticos de cada uno de sus servidores públicos,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006AE7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="00AF4C8B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34655" w:rsidRPr="00295561" w:rsidTr="00285FEB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44DD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53E9" w:rsidRPr="00295561" w:rsidTr="000E3414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9053E9" w:rsidRPr="00295561" w:rsidRDefault="009053E9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9053E9" w:rsidRPr="00295561" w:rsidRDefault="009053E9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9053E9" w:rsidRPr="00295561" w:rsidRDefault="009053E9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053E9" w:rsidRPr="00295561" w:rsidRDefault="009053E9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053E9" w:rsidRPr="00295561" w:rsidRDefault="009053E9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Padrón de vehículos oficiales o con arrendamiento desglosado por marca, tipo, color, modelo y responsable del resguardo;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053E9" w:rsidRPr="00295561" w:rsidRDefault="009053E9" w:rsidP="006E1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053E9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4655" w:rsidRPr="00295561" w:rsidTr="00285FEB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44DD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 xml:space="preserve">Informe de los vuelos de aeronaves oficiales o con arrendamiento, cuya operación de traslado cualquiera que ésta sea, haya sido financiada con recursos públicos. El informe debe incluir bitácora de vuelo, objetivo de traslado, el nombre de la </w:t>
            </w:r>
            <w:r w:rsidRPr="002955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tripulación y de los ocupantes;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006AE7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No </w:t>
            </w:r>
            <w:r w:rsidR="009053E9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34655"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3414" w:rsidRPr="00295561" w:rsidTr="000E3414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Padrón de proveedores y contratistas que incluya dirección, teléfono y giro comercial;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6315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6315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6315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631577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631577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631577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734655" w:rsidRPr="00295561" w:rsidTr="00285FEB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295561" w:rsidRDefault="00744DDA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 información relativa a la deuda pública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, en términos de la normativa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295561" w:rsidRDefault="00734655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3414" w:rsidRPr="00295561" w:rsidTr="000E3414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El resultado de los dictámenes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6B5BAA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6B5BAA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6B5BAA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6B5BAA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6B5BAA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6B5BAA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415FDF" w:rsidRPr="00295561" w:rsidTr="00285FEB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La información de los resultados sobre procedimientos de adjudicación directa, invitación, invitación restringida y licitación de cualquier naturaleza, incluyendo la versión pública del expediente respectivo y de los contratos 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celebrados, que deberá contener por lo menos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3414" w:rsidRPr="00295561" w:rsidTr="000E3414">
        <w:trPr>
          <w:trHeight w:val="208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AA05A4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AA05A4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AA05A4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0E3414" w:rsidRPr="00295561" w:rsidTr="000E3414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E3414" w:rsidRPr="00295561" w:rsidRDefault="000E3414" w:rsidP="000E34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0E3414" w:rsidRDefault="000E3414" w:rsidP="000E3414">
            <w:pPr>
              <w:jc w:val="center"/>
            </w:pPr>
            <w:r w:rsidRPr="00AA05A4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AA05A4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AA05A4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415FDF" w:rsidRPr="00295561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15FDF" w:rsidRPr="00295561" w:rsidTr="006D2800">
        <w:trPr>
          <w:trHeight w:val="528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A34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que deberá contener lo 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lastRenderedPageBreak/>
              <w:t>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15FDF" w:rsidRPr="00295561" w:rsidTr="00285FEB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295561" w:rsidRDefault="00D1171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D2800" w:rsidRPr="00295561" w:rsidTr="00402747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6D2800" w:rsidRPr="00295561" w:rsidRDefault="006D280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6D2800" w:rsidRPr="00295561" w:rsidRDefault="006D280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6D2800" w:rsidRPr="00295561" w:rsidRDefault="006D280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6D2800" w:rsidRPr="00295561" w:rsidRDefault="006D280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D2800" w:rsidRPr="00295561" w:rsidRDefault="006D280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concesiones, contratos, convenios, permisos, licencias o autorizaciones otorgados;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:rsidR="006D2800" w:rsidRPr="00295561" w:rsidRDefault="006D2800" w:rsidP="006E12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6D2800" w:rsidRPr="00295561" w:rsidRDefault="006D2800" w:rsidP="006E12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6D2800" w:rsidRPr="00295561" w:rsidRDefault="00DE3CC4" w:rsidP="006E122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295561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informes que por disposición legal generen los sujetos obligados y el informe anual que deben rendir sobre las acciones de implementación de esta Ley;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F43E62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F43E62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F43E62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F43E62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F43E62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F43E62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Las metas y objetivos de las áreas de conformidad con sus programas operativos;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F43E62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F43E62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F43E62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indicadores que permitan rendir cuenta de sus objetivos y resultados;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 xml:space="preserve">Atendiendo lo dispuesto en el </w:t>
            </w:r>
            <w:r w:rsidRPr="00295561">
              <w:rPr>
                <w:rFonts w:cs="Calibri"/>
                <w:color w:val="000000"/>
                <w:sz w:val="20"/>
                <w:szCs w:val="20"/>
              </w:rPr>
              <w:lastRenderedPageBreak/>
              <w:t>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F43E62">
              <w:rPr>
                <w:rFonts w:cs="Calibri"/>
                <w:bCs/>
                <w:sz w:val="20"/>
                <w:szCs w:val="20"/>
              </w:rPr>
              <w:lastRenderedPageBreak/>
              <w:t xml:space="preserve">Se deberá establecer </w:t>
            </w:r>
            <w:r w:rsidRPr="00F43E62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F43E62">
              <w:rPr>
                <w:rFonts w:cs="Calibri"/>
                <w:bCs/>
                <w:sz w:val="20"/>
                <w:szCs w:val="20"/>
              </w:rPr>
              <w:t xml:space="preserve"> que publicará la información requerida de </w:t>
            </w:r>
            <w:r w:rsidRPr="00F43E62">
              <w:rPr>
                <w:rFonts w:cs="Calibri"/>
                <w:bCs/>
                <w:sz w:val="20"/>
                <w:szCs w:val="20"/>
              </w:rPr>
              <w:lastRenderedPageBreak/>
              <w:t>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1E7B59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1E7B59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1E7B59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cs="Calibri"/>
                <w:color w:val="00000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1E7B59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1E7B59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1E7B59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DE3CC4">
            <w:pPr>
              <w:jc w:val="center"/>
            </w:pPr>
            <w:r w:rsidRPr="001E7B59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1E7B59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1E7B59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DE3CC4" w:rsidRPr="00295561" w:rsidTr="00DE3CC4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Las actas de sesiones ordinarias y extraordinarias, así como las opiniones y recomendaciones que emitan, en su caso, los consejos consultivos, comités técnicos y juntas directivas o de gobierno;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DE3CC4" w:rsidRPr="00295561" w:rsidRDefault="00DE3CC4" w:rsidP="00DE3C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E3CC4" w:rsidRDefault="00DE3CC4" w:rsidP="000F015D">
            <w:pPr>
              <w:spacing w:line="240" w:lineRule="auto"/>
              <w:jc w:val="center"/>
            </w:pPr>
            <w:r w:rsidRPr="001E7B59">
              <w:rPr>
                <w:rFonts w:cs="Calibri"/>
                <w:bCs/>
                <w:sz w:val="20"/>
                <w:szCs w:val="20"/>
              </w:rPr>
              <w:t xml:space="preserve">Se deberá establecer </w:t>
            </w:r>
            <w:r w:rsidRPr="001E7B59"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1E7B59">
              <w:rPr>
                <w:rFonts w:cs="Calibri"/>
                <w:bCs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  <w:tr w:rsidR="00415FDF" w:rsidRPr="00295561" w:rsidTr="00285FEB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les del requerimiento, así como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en su caso, la mención de que cuenta con la autorización judicial correspondie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nte;</w:t>
            </w:r>
            <w:r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y</w:t>
            </w:r>
            <w:r w:rsidR="00A349E7" w:rsidRPr="0029556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,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DE3CC4" w:rsidRDefault="00DE3CC4" w:rsidP="00307576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DE3CC4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A</w:t>
            </w:r>
            <w:r w:rsidR="00D1171F" w:rsidRPr="00DE3CC4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plica</w:t>
            </w:r>
          </w:p>
          <w:p w:rsidR="00DE3CC4" w:rsidRPr="00DE3CC4" w:rsidRDefault="00DE3CC4" w:rsidP="00307576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DE3CC4">
              <w:rPr>
                <w:rFonts w:cs="Calibri"/>
                <w:color w:val="00B050"/>
                <w:sz w:val="20"/>
                <w:szCs w:val="20"/>
              </w:rPr>
              <w:t>Atendiendo lo dispuesto en el lineamiento técnico correspondiente a esta fracción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DE3CC4" w:rsidRDefault="00DE3CC4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E3CC4">
              <w:rPr>
                <w:rFonts w:cs="Calibri"/>
                <w:bCs/>
                <w:color w:val="00B050"/>
                <w:sz w:val="20"/>
                <w:szCs w:val="20"/>
              </w:rPr>
              <w:t>Se deberá establecer el área responsable que publicará la información requerida de conformidad con sus atribuciones y que forme parte de su estructura orgánica</w:t>
            </w:r>
          </w:p>
        </w:tc>
      </w:tr>
      <w:tr w:rsidR="00415FDF" w:rsidRPr="00307576" w:rsidTr="00285FEB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15FDF" w:rsidRPr="00295561" w:rsidRDefault="00415FDF" w:rsidP="00A34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Cualquier otra información que sea de utilidad o se considere relevante, además de la que con bas</w:t>
            </w:r>
            <w:r w:rsidR="00A349E7"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en la información estadística</w:t>
            </w: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415FDF" w:rsidRPr="00295561" w:rsidRDefault="00415FDF" w:rsidP="003075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415FDF" w:rsidRPr="00307576" w:rsidRDefault="00C87DD0" w:rsidP="003075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55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Unidad de Transparencia</w:t>
            </w:r>
          </w:p>
        </w:tc>
      </w:tr>
      <w:tr w:rsidR="00DE3CC4" w:rsidRPr="00307576" w:rsidTr="00285FEB">
        <w:trPr>
          <w:trHeight w:val="1215"/>
        </w:trPr>
        <w:tc>
          <w:tcPr>
            <w:tcW w:w="367" w:type="pct"/>
            <w:shd w:val="clear" w:color="000000" w:fill="FFFFFF"/>
            <w:vAlign w:val="center"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E3CC4" w:rsidRPr="00295561" w:rsidRDefault="00DE3CC4" w:rsidP="00DE3C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</w:tcPr>
          <w:p w:rsidR="00DE3CC4" w:rsidRPr="005E4863" w:rsidRDefault="00DE3CC4" w:rsidP="00DE3CC4">
            <w:pPr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  <w:r w:rsidRPr="005E4863">
              <w:rPr>
                <w:rFonts w:cs="Calibri"/>
                <w:color w:val="00B05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</w:tcPr>
          <w:p w:rsidR="00DE3CC4" w:rsidRPr="005E4863" w:rsidRDefault="00DE3CC4" w:rsidP="00DE3CC4">
            <w:pPr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  <w:r w:rsidRPr="005E4863">
              <w:rPr>
                <w:rFonts w:cs="Calibri"/>
                <w:color w:val="00B050"/>
                <w:sz w:val="20"/>
                <w:szCs w:val="20"/>
              </w:rPr>
              <w:t xml:space="preserve">Para su cumplimiento los sujetos obligados deberán </w:t>
            </w:r>
            <w:r>
              <w:rPr>
                <w:rFonts w:cs="Calibri"/>
                <w:color w:val="00B050"/>
                <w:sz w:val="20"/>
                <w:szCs w:val="20"/>
              </w:rPr>
              <w:t>publicar</w:t>
            </w:r>
            <w:r w:rsidRPr="005E4863">
              <w:rPr>
                <w:rFonts w:cs="Calibri"/>
                <w:color w:val="00B050"/>
                <w:sz w:val="20"/>
                <w:szCs w:val="20"/>
              </w:rPr>
              <w:t xml:space="preserve"> la tabla de aplicabilidad de obligacione</w:t>
            </w:r>
            <w:r>
              <w:rPr>
                <w:rFonts w:cs="Calibri"/>
                <w:color w:val="00B050"/>
                <w:sz w:val="20"/>
                <w:szCs w:val="20"/>
              </w:rPr>
              <w:t>s de transparencia comunes y</w:t>
            </w:r>
            <w:r w:rsidRPr="005E4863">
              <w:rPr>
                <w:rFonts w:cs="Calibri"/>
                <w:color w:val="00B050"/>
                <w:sz w:val="20"/>
                <w:szCs w:val="20"/>
              </w:rPr>
              <w:t xml:space="preserve"> la tabla de actualización y conservación de la información.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:rsidR="00DE3CC4" w:rsidRPr="005E4863" w:rsidRDefault="00DE3CC4" w:rsidP="00DE3CC4">
            <w:pPr>
              <w:jc w:val="center"/>
              <w:rPr>
                <w:rFonts w:cs="Calibri"/>
                <w:bCs/>
                <w:color w:val="00B050"/>
                <w:sz w:val="20"/>
                <w:szCs w:val="20"/>
              </w:rPr>
            </w:pPr>
            <w:r w:rsidRPr="005E4863">
              <w:rPr>
                <w:rFonts w:cs="Calibri"/>
                <w:bCs/>
                <w:color w:val="00B050"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</w:tcPr>
          <w:p w:rsidR="00DE3CC4" w:rsidRPr="0095034E" w:rsidRDefault="00DE3CC4" w:rsidP="00DE3CC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21439">
              <w:rPr>
                <w:rFonts w:cs="Calibri"/>
                <w:bCs/>
                <w:color w:val="00B050"/>
                <w:sz w:val="20"/>
                <w:szCs w:val="20"/>
              </w:rPr>
              <w:t xml:space="preserve">Se deberá establecer </w:t>
            </w:r>
            <w:r>
              <w:rPr>
                <w:rFonts w:cs="Calibri"/>
                <w:bCs/>
                <w:color w:val="00B050"/>
                <w:sz w:val="20"/>
                <w:szCs w:val="20"/>
              </w:rPr>
              <w:t>el área responsable</w:t>
            </w:r>
            <w:r w:rsidRPr="00321439">
              <w:rPr>
                <w:rFonts w:cs="Calibri"/>
                <w:bCs/>
                <w:color w:val="00B050"/>
                <w:sz w:val="20"/>
                <w:szCs w:val="20"/>
              </w:rPr>
              <w:t xml:space="preserve"> que publicará la información requerida de conformidad con sus atribuciones y que forme parte de su estructura orgánica</w:t>
            </w:r>
          </w:p>
        </w:tc>
      </w:tr>
    </w:tbl>
    <w:p w:rsidR="00116190" w:rsidRPr="00DE3CC4" w:rsidRDefault="00116190" w:rsidP="00116190">
      <w:pPr>
        <w:spacing w:after="0" w:line="240" w:lineRule="auto"/>
        <w:jc w:val="both"/>
        <w:rPr>
          <w:b/>
          <w:bCs/>
          <w:color w:val="B2A1C7" w:themeColor="accent4" w:themeTint="99"/>
        </w:rPr>
      </w:pPr>
      <w:r w:rsidRPr="00DE3CC4">
        <w:rPr>
          <w:b/>
          <w:bCs/>
          <w:color w:val="B2A1C7" w:themeColor="accent4" w:themeTint="99"/>
          <w:sz w:val="24"/>
          <w:szCs w:val="24"/>
        </w:rPr>
        <w:t>Asimismo, a los Partidos Políticos le son aplicables las fracciones I a la XXX del artículo 101 de la LTAIPES, previstas en el Capítulo III denominado: De las Obligaciones de Transparencia Específicas de los Sujetos Obligados.</w:t>
      </w:r>
    </w:p>
    <w:p w:rsidR="00116190" w:rsidRDefault="00116190" w:rsidP="00534D62">
      <w:pPr>
        <w:spacing w:after="0" w:line="240" w:lineRule="auto"/>
        <w:jc w:val="both"/>
        <w:rPr>
          <w:b/>
          <w:bCs/>
          <w:color w:val="60497A"/>
        </w:rPr>
      </w:pPr>
    </w:p>
    <w:sectPr w:rsidR="00116190" w:rsidSect="007F33D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CF1" w:rsidRDefault="00262CF1" w:rsidP="00763AE2">
      <w:pPr>
        <w:spacing w:after="0" w:line="240" w:lineRule="auto"/>
      </w:pPr>
      <w:r>
        <w:separator/>
      </w:r>
    </w:p>
  </w:endnote>
  <w:endnote w:type="continuationSeparator" w:id="0">
    <w:p w:rsidR="00262CF1" w:rsidRDefault="00262CF1" w:rsidP="0076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CF1" w:rsidRDefault="00262CF1" w:rsidP="00763AE2">
      <w:pPr>
        <w:spacing w:after="0" w:line="240" w:lineRule="auto"/>
      </w:pPr>
      <w:r>
        <w:separator/>
      </w:r>
    </w:p>
  </w:footnote>
  <w:footnote w:type="continuationSeparator" w:id="0">
    <w:p w:rsidR="00262CF1" w:rsidRDefault="00262CF1" w:rsidP="0076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E7" w:rsidRDefault="00006A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-192405</wp:posOffset>
          </wp:positionV>
          <wp:extent cx="7181850" cy="1076325"/>
          <wp:effectExtent l="19050" t="0" r="0" b="0"/>
          <wp:wrapNone/>
          <wp:docPr id="1" name="0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D8"/>
    <w:rsid w:val="000060D6"/>
    <w:rsid w:val="00006AE7"/>
    <w:rsid w:val="000139DA"/>
    <w:rsid w:val="00041749"/>
    <w:rsid w:val="00056175"/>
    <w:rsid w:val="000867C6"/>
    <w:rsid w:val="000A200C"/>
    <w:rsid w:val="000B328D"/>
    <w:rsid w:val="000E3414"/>
    <w:rsid w:val="000E3D69"/>
    <w:rsid w:val="000F015D"/>
    <w:rsid w:val="00104EC1"/>
    <w:rsid w:val="001112FB"/>
    <w:rsid w:val="00116190"/>
    <w:rsid w:val="00164E99"/>
    <w:rsid w:val="001A2D29"/>
    <w:rsid w:val="001B2064"/>
    <w:rsid w:val="001C1B1A"/>
    <w:rsid w:val="001C7363"/>
    <w:rsid w:val="001D4947"/>
    <w:rsid w:val="001F20D9"/>
    <w:rsid w:val="00222986"/>
    <w:rsid w:val="00262C53"/>
    <w:rsid w:val="00262CF1"/>
    <w:rsid w:val="00264138"/>
    <w:rsid w:val="0028212D"/>
    <w:rsid w:val="00285FEB"/>
    <w:rsid w:val="00290763"/>
    <w:rsid w:val="00295561"/>
    <w:rsid w:val="002962D2"/>
    <w:rsid w:val="002A71EE"/>
    <w:rsid w:val="002D2629"/>
    <w:rsid w:val="00305729"/>
    <w:rsid w:val="00307576"/>
    <w:rsid w:val="003153C7"/>
    <w:rsid w:val="003171E0"/>
    <w:rsid w:val="00325583"/>
    <w:rsid w:val="003315C6"/>
    <w:rsid w:val="00365E3B"/>
    <w:rsid w:val="00384BF7"/>
    <w:rsid w:val="003907E4"/>
    <w:rsid w:val="003F4600"/>
    <w:rsid w:val="00402747"/>
    <w:rsid w:val="00402FB8"/>
    <w:rsid w:val="00415002"/>
    <w:rsid w:val="00415FDF"/>
    <w:rsid w:val="00423135"/>
    <w:rsid w:val="004248C3"/>
    <w:rsid w:val="00461E1F"/>
    <w:rsid w:val="004679BE"/>
    <w:rsid w:val="004736CB"/>
    <w:rsid w:val="004B6085"/>
    <w:rsid w:val="004B7FF2"/>
    <w:rsid w:val="004D577A"/>
    <w:rsid w:val="00534D62"/>
    <w:rsid w:val="00545ACF"/>
    <w:rsid w:val="00554264"/>
    <w:rsid w:val="00563CD0"/>
    <w:rsid w:val="005678D1"/>
    <w:rsid w:val="00595B95"/>
    <w:rsid w:val="005A59B1"/>
    <w:rsid w:val="005E3AFE"/>
    <w:rsid w:val="0060278D"/>
    <w:rsid w:val="00614EB8"/>
    <w:rsid w:val="00643FF6"/>
    <w:rsid w:val="00652FB8"/>
    <w:rsid w:val="006531C6"/>
    <w:rsid w:val="006636F0"/>
    <w:rsid w:val="00667E9A"/>
    <w:rsid w:val="00670E69"/>
    <w:rsid w:val="00686F88"/>
    <w:rsid w:val="006C7D33"/>
    <w:rsid w:val="006D2800"/>
    <w:rsid w:val="006D28AA"/>
    <w:rsid w:val="006E43B3"/>
    <w:rsid w:val="006E4D1D"/>
    <w:rsid w:val="006F48A7"/>
    <w:rsid w:val="007031F8"/>
    <w:rsid w:val="00707F0F"/>
    <w:rsid w:val="0071003C"/>
    <w:rsid w:val="0072086C"/>
    <w:rsid w:val="00730B2B"/>
    <w:rsid w:val="00734655"/>
    <w:rsid w:val="00744DDA"/>
    <w:rsid w:val="00763AE2"/>
    <w:rsid w:val="007F0FF3"/>
    <w:rsid w:val="007F33D8"/>
    <w:rsid w:val="008070E6"/>
    <w:rsid w:val="00827070"/>
    <w:rsid w:val="008413CB"/>
    <w:rsid w:val="00851C09"/>
    <w:rsid w:val="0085324B"/>
    <w:rsid w:val="00864C64"/>
    <w:rsid w:val="00864E59"/>
    <w:rsid w:val="00873778"/>
    <w:rsid w:val="00880D48"/>
    <w:rsid w:val="008874F8"/>
    <w:rsid w:val="008A3338"/>
    <w:rsid w:val="008D3747"/>
    <w:rsid w:val="009016E5"/>
    <w:rsid w:val="009053E9"/>
    <w:rsid w:val="0091347C"/>
    <w:rsid w:val="00913825"/>
    <w:rsid w:val="00922E7F"/>
    <w:rsid w:val="00926FAD"/>
    <w:rsid w:val="00951EA4"/>
    <w:rsid w:val="00970527"/>
    <w:rsid w:val="00970893"/>
    <w:rsid w:val="00982F88"/>
    <w:rsid w:val="009901F6"/>
    <w:rsid w:val="009A025C"/>
    <w:rsid w:val="009A3AF4"/>
    <w:rsid w:val="009C25DB"/>
    <w:rsid w:val="009E405E"/>
    <w:rsid w:val="00A02588"/>
    <w:rsid w:val="00A349E7"/>
    <w:rsid w:val="00A52B2A"/>
    <w:rsid w:val="00A61DEC"/>
    <w:rsid w:val="00A63C3E"/>
    <w:rsid w:val="00A829EF"/>
    <w:rsid w:val="00A83D2C"/>
    <w:rsid w:val="00A8428A"/>
    <w:rsid w:val="00A94C08"/>
    <w:rsid w:val="00AC43D4"/>
    <w:rsid w:val="00AC7ABA"/>
    <w:rsid w:val="00AD413E"/>
    <w:rsid w:val="00AD418E"/>
    <w:rsid w:val="00AD574B"/>
    <w:rsid w:val="00AF4C8B"/>
    <w:rsid w:val="00B04730"/>
    <w:rsid w:val="00B2460F"/>
    <w:rsid w:val="00B366FD"/>
    <w:rsid w:val="00B36D66"/>
    <w:rsid w:val="00B43A8D"/>
    <w:rsid w:val="00B73FFD"/>
    <w:rsid w:val="00B744CC"/>
    <w:rsid w:val="00BA18AA"/>
    <w:rsid w:val="00BA26B3"/>
    <w:rsid w:val="00BA3CD1"/>
    <w:rsid w:val="00BC0E34"/>
    <w:rsid w:val="00BD511C"/>
    <w:rsid w:val="00BF5722"/>
    <w:rsid w:val="00C36A6E"/>
    <w:rsid w:val="00C6302E"/>
    <w:rsid w:val="00C66099"/>
    <w:rsid w:val="00C824BD"/>
    <w:rsid w:val="00C87DD0"/>
    <w:rsid w:val="00CA0824"/>
    <w:rsid w:val="00CD1F2A"/>
    <w:rsid w:val="00CE2EC3"/>
    <w:rsid w:val="00D1171F"/>
    <w:rsid w:val="00D4271F"/>
    <w:rsid w:val="00D9164E"/>
    <w:rsid w:val="00DA6791"/>
    <w:rsid w:val="00DC40D1"/>
    <w:rsid w:val="00DC5804"/>
    <w:rsid w:val="00DC6732"/>
    <w:rsid w:val="00DE1D45"/>
    <w:rsid w:val="00DE3CC4"/>
    <w:rsid w:val="00E04926"/>
    <w:rsid w:val="00E20E82"/>
    <w:rsid w:val="00E22E14"/>
    <w:rsid w:val="00E35E4F"/>
    <w:rsid w:val="00E5487F"/>
    <w:rsid w:val="00E65F11"/>
    <w:rsid w:val="00E81A04"/>
    <w:rsid w:val="00E82642"/>
    <w:rsid w:val="00EB76C4"/>
    <w:rsid w:val="00EE16DF"/>
    <w:rsid w:val="00EE33B7"/>
    <w:rsid w:val="00EF44D8"/>
    <w:rsid w:val="00F16E19"/>
    <w:rsid w:val="00F25194"/>
    <w:rsid w:val="00F307FE"/>
    <w:rsid w:val="00F36F34"/>
    <w:rsid w:val="00F50015"/>
    <w:rsid w:val="00F509A5"/>
    <w:rsid w:val="00F55EA1"/>
    <w:rsid w:val="00F81885"/>
    <w:rsid w:val="00F97083"/>
    <w:rsid w:val="00FA2E64"/>
    <w:rsid w:val="00FE2211"/>
    <w:rsid w:val="00FE4A42"/>
    <w:rsid w:val="00FE5909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19B0-E326-437C-8EB5-534E296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77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EB76C4"/>
    <w:pPr>
      <w:widowControl w:val="0"/>
      <w:ind w:left="720"/>
      <w:contextualSpacing/>
    </w:pPr>
    <w:rPr>
      <w:sz w:val="20"/>
      <w:szCs w:val="20"/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="Calibr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="Calibr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="Calibr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paragraph" w:styleId="Encabezado">
    <w:name w:val="header"/>
    <w:basedOn w:val="Normal"/>
    <w:link w:val="EncabezadoCar"/>
    <w:uiPriority w:val="99"/>
    <w:semiHidden/>
    <w:unhideWhenUsed/>
    <w:rsid w:val="0076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3AE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76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3AE2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F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D76A-4B03-443F-9857-168BB0A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2771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USUARIO</cp:lastModifiedBy>
  <cp:revision>2</cp:revision>
  <cp:lastPrinted>2018-04-19T17:23:00Z</cp:lastPrinted>
  <dcterms:created xsi:type="dcterms:W3CDTF">2018-04-19T17:25:00Z</dcterms:created>
  <dcterms:modified xsi:type="dcterms:W3CDTF">2018-04-19T17:25:00Z</dcterms:modified>
</cp:coreProperties>
</file>