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8" w:rsidRPr="005C1DC9" w:rsidRDefault="009A5C58" w:rsidP="009A5C58">
      <w:pPr>
        <w:tabs>
          <w:tab w:val="left" w:pos="216"/>
        </w:tabs>
        <w:jc w:val="center"/>
        <w:rPr>
          <w:b/>
          <w:sz w:val="20"/>
          <w:szCs w:val="20"/>
        </w:rPr>
      </w:pPr>
      <w:r w:rsidRPr="005C1DC9">
        <w:rPr>
          <w:b/>
          <w:sz w:val="20"/>
          <w:szCs w:val="20"/>
        </w:rPr>
        <w:t>Tabla de Actualización y Conservación de la Información</w:t>
      </w:r>
    </w:p>
    <w:p w:rsidR="009A5C58" w:rsidRPr="005C1DC9" w:rsidRDefault="009A5C58" w:rsidP="009A5C58">
      <w:pPr>
        <w:tabs>
          <w:tab w:val="left" w:pos="216"/>
        </w:tabs>
        <w:jc w:val="center"/>
        <w:rPr>
          <w:b/>
          <w:sz w:val="20"/>
          <w:szCs w:val="20"/>
        </w:rPr>
      </w:pPr>
      <w:r w:rsidRPr="005C1DC9">
        <w:rPr>
          <w:b/>
          <w:sz w:val="20"/>
          <w:szCs w:val="20"/>
        </w:rPr>
        <w:t>Partidos Políticos Nacionales y Locales, Agrupaciones Políticas y Personas Morales constituidas en Asociación Civil que presenten Candidatura Independiente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4"/>
        <w:gridCol w:w="2240"/>
        <w:gridCol w:w="1298"/>
        <w:gridCol w:w="1979"/>
        <w:gridCol w:w="1451"/>
      </w:tblGrid>
      <w:tr w:rsidR="009A5C58" w:rsidRPr="005C1DC9" w:rsidTr="00AF66F8">
        <w:trPr>
          <w:trHeight w:val="20"/>
          <w:tblHeader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b/>
                <w:sz w:val="16"/>
                <w:szCs w:val="18"/>
              </w:rPr>
            </w:pPr>
            <w:r w:rsidRPr="005C1DC9">
              <w:rPr>
                <w:b/>
                <w:sz w:val="16"/>
                <w:szCs w:val="18"/>
              </w:rPr>
              <w:t>Artículo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b/>
                <w:sz w:val="16"/>
                <w:szCs w:val="18"/>
              </w:rPr>
            </w:pPr>
            <w:r w:rsidRPr="005C1DC9">
              <w:rPr>
                <w:b/>
                <w:sz w:val="16"/>
                <w:szCs w:val="18"/>
              </w:rPr>
              <w:t>Fracción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b/>
                <w:sz w:val="16"/>
                <w:szCs w:val="18"/>
              </w:rPr>
            </w:pPr>
            <w:r w:rsidRPr="005C1DC9">
              <w:rPr>
                <w:b/>
                <w:sz w:val="16"/>
                <w:szCs w:val="18"/>
              </w:rPr>
              <w:t>Periodo de actualización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b/>
                <w:sz w:val="16"/>
                <w:szCs w:val="18"/>
              </w:rPr>
            </w:pPr>
            <w:r w:rsidRPr="005C1DC9">
              <w:rPr>
                <w:b/>
                <w:sz w:val="16"/>
                <w:szCs w:val="18"/>
              </w:rPr>
              <w:t>Observaciones acerca de la información a publicar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b/>
                <w:sz w:val="16"/>
                <w:szCs w:val="18"/>
              </w:rPr>
            </w:pPr>
            <w:r w:rsidRPr="005C1DC9">
              <w:rPr>
                <w:b/>
                <w:sz w:val="16"/>
                <w:szCs w:val="18"/>
              </w:rPr>
              <w:t>Periodo de Conservación de la información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Artículo 101. </w:t>
            </w:r>
            <w:r w:rsidRPr="005C1DC9">
              <w:rPr>
                <w:i/>
                <w:sz w:val="16"/>
                <w:szCs w:val="18"/>
              </w:rPr>
              <w:t>Además de lo señalado en el artículo 95 de la presente Ley, los partidos políticos nacionales y locales con registro ante la autoridad local, las agrupaciones políticas y las personas morales constituidas en asociación civil creadas por los ciudadanos que pretendan postular su candidatura independiente, según corresponda, deberán poner a disposición del público y actualizar la siguiente información: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I. </w:t>
            </w:r>
            <w:r w:rsidRPr="005C1DC9">
              <w:rPr>
                <w:i/>
                <w:sz w:val="16"/>
                <w:szCs w:val="18"/>
              </w:rPr>
              <w:t>El padrón de afiliados o militantes de los partidos políticos, que contendrá exclusivamente: apellidos, nombre o nombres y fecha de afiliación;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Semestral y una vez que presenten su registro ante la autoridad electoral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Semestral para partidos políticos; respecto a las agrupaciones políticas y las asociaciones civiles creadas por ciudadanos que pretenden postular su candidatura independiente, se actualizará una vez que presenten su registro ante la autoridad electoral.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II. </w:t>
            </w:r>
            <w:r w:rsidRPr="005C1DC9">
              <w:rPr>
                <w:i/>
                <w:sz w:val="16"/>
                <w:szCs w:val="18"/>
              </w:rPr>
              <w:t>Los acuerdos y resoluciones de los órganos de dirección de los partidos 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un ejercicio anterior.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III. </w:t>
            </w:r>
            <w:r w:rsidRPr="005C1DC9">
              <w:rPr>
                <w:i/>
                <w:sz w:val="16"/>
                <w:szCs w:val="18"/>
              </w:rPr>
              <w:t>Los convenios de participación entre partidos políticos con organizaciones de la sociedad civil;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un ejercicio anterior.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IV. </w:t>
            </w:r>
            <w:r w:rsidRPr="005C1DC9">
              <w:rPr>
                <w:i/>
                <w:sz w:val="16"/>
                <w:szCs w:val="18"/>
              </w:rPr>
              <w:t>Contratos y convenios para la adquisición o arrendamiento de bienes y servicios;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Fracción V.</w:t>
            </w:r>
            <w:r w:rsidRPr="005C1DC9">
              <w:rPr>
                <w:i/>
                <w:sz w:val="16"/>
                <w:szCs w:val="18"/>
              </w:rPr>
              <w:t xml:space="preserve"> Las minutas de las sesiones de los partidos 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un ejercicio anterior.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VI. </w:t>
            </w:r>
            <w:r w:rsidRPr="005C1DC9">
              <w:rPr>
                <w:i/>
                <w:sz w:val="16"/>
                <w:szCs w:val="18"/>
              </w:rPr>
              <w:t>Los responsables de los órganos internos de finanzas de los partidos 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VII. </w:t>
            </w:r>
            <w:r w:rsidRPr="005C1DC9">
              <w:rPr>
                <w:i/>
                <w:sz w:val="16"/>
                <w:szCs w:val="18"/>
              </w:rPr>
              <w:t>Las organizaciones sociales adherentes o similares a algún partido 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VIII. </w:t>
            </w:r>
            <w:r w:rsidRPr="005C1DC9">
              <w:rPr>
                <w:i/>
                <w:sz w:val="16"/>
                <w:szCs w:val="18"/>
              </w:rPr>
              <w:t>Los montos de las cuotas ordinarias y extraordinarias aportadas por sus militantes;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IX. </w:t>
            </w:r>
            <w:r w:rsidRPr="005C1DC9">
              <w:rPr>
                <w:i/>
                <w:sz w:val="16"/>
                <w:szCs w:val="18"/>
              </w:rPr>
              <w:t xml:space="preserve">Los montos </w:t>
            </w:r>
            <w:r w:rsidRPr="005C1DC9">
              <w:rPr>
                <w:i/>
                <w:sz w:val="16"/>
                <w:szCs w:val="18"/>
              </w:rPr>
              <w:lastRenderedPageBreak/>
              <w:t>autorizados de financiamiento privado, así como una relación de los nombres de los aportantes vinculados con los montos;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 xml:space="preserve">Información </w:t>
            </w:r>
            <w:r w:rsidRPr="005C1DC9">
              <w:rPr>
                <w:sz w:val="16"/>
                <w:szCs w:val="18"/>
              </w:rPr>
              <w:lastRenderedPageBreak/>
              <w:t>vigente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lastRenderedPageBreak/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Fracción X.</w:t>
            </w:r>
            <w:r w:rsidRPr="005C1DC9">
              <w:rPr>
                <w:i/>
                <w:sz w:val="16"/>
                <w:szCs w:val="18"/>
              </w:rPr>
              <w:t xml:space="preserve"> El listado de aportantes a las precampañas y campañas políticas;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al corte y de los dos periodos electorales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XI. </w:t>
            </w:r>
            <w:r w:rsidRPr="005C1DC9">
              <w:rPr>
                <w:i/>
                <w:sz w:val="16"/>
                <w:szCs w:val="18"/>
              </w:rPr>
              <w:t>El acta de la asamblea constitutiva;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XII. </w:t>
            </w:r>
            <w:r w:rsidRPr="005C1DC9">
              <w:rPr>
                <w:i/>
                <w:sz w:val="16"/>
                <w:szCs w:val="18"/>
              </w:rPr>
              <w:t>Las demarcaciones electorales en las que participen;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XIII. </w:t>
            </w:r>
            <w:r w:rsidRPr="005C1DC9">
              <w:rPr>
                <w:i/>
                <w:sz w:val="16"/>
                <w:szCs w:val="18"/>
              </w:rPr>
              <w:t>Los tiempos que les corresponden en canales de radio y televisión;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XIV. </w:t>
            </w:r>
            <w:r w:rsidRPr="005C1DC9">
              <w:rPr>
                <w:i/>
                <w:sz w:val="16"/>
                <w:szCs w:val="18"/>
              </w:rPr>
              <w:t>Sus documentos básicos, plataformas electorales y programas de gobierno y los mecanismos de designación de los órganos de dirección en sus respectivos ámbitos;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XV. </w:t>
            </w:r>
            <w:r w:rsidRPr="005C1DC9">
              <w:rPr>
                <w:i/>
                <w:sz w:val="16"/>
                <w:szCs w:val="18"/>
              </w:rPr>
              <w:t>El directorio de sus órganos de dirección estatal y municipal y, en su caso, regionales y distritales;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En su caso, 15 días hábiles después de una modificación.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XVI. </w:t>
            </w:r>
            <w:r w:rsidRPr="005C1DC9">
              <w:rPr>
                <w:i/>
                <w:sz w:val="16"/>
                <w:szCs w:val="18"/>
              </w:rPr>
              <w:t>El tabulador de remuneraciones, incluidas las compensaciones y apoyos económicos que perciben los integrantes de los órganos a que se refiere la fracción anterior y de los demás funcionarios partidistas, que deberá vincularse con el directorio y estructura orgánica; así como cualquier persona que reciba ingresos por parte del partido político, independientemente de la función que desempeñe dentro o fuera del partido;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Fracción XVII.</w:t>
            </w:r>
            <w:r w:rsidRPr="005C1DC9">
              <w:rPr>
                <w:i/>
                <w:sz w:val="16"/>
                <w:szCs w:val="18"/>
              </w:rPr>
              <w:t xml:space="preserve"> El currículum con fotografía reciente de todos los precandidatos y candidatos a cargos de elección popular, con el cargo al que se postula y el distrito electoral;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XVIII. </w:t>
            </w:r>
            <w:r w:rsidRPr="005C1DC9">
              <w:rPr>
                <w:i/>
                <w:sz w:val="16"/>
                <w:szCs w:val="18"/>
              </w:rPr>
              <w:t>El currículum de los dirigentes a nivel estatal y municipal;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lastRenderedPageBreak/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XIX. </w:t>
            </w:r>
            <w:r w:rsidRPr="005C1DC9">
              <w:rPr>
                <w:i/>
                <w:sz w:val="16"/>
                <w:szCs w:val="18"/>
              </w:rPr>
              <w:t>Los convenios de frente, coalición o fusión que celebren o de participación electoral que realicen con agrupaciones políticas cualquiera que sea su ámbito;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XX. </w:t>
            </w:r>
            <w:r w:rsidRPr="005C1DC9">
              <w:rPr>
                <w:i/>
                <w:sz w:val="16"/>
                <w:szCs w:val="18"/>
              </w:rPr>
              <w:t>Las convocatorias que emitan para la elección de sus dirigentes o la postulación de sus candidatos a cargos de elección popular y, en su caso, el registro correspondiente;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XXI. </w:t>
            </w:r>
            <w:r w:rsidRPr="005C1DC9">
              <w:rPr>
                <w:i/>
                <w:sz w:val="16"/>
                <w:szCs w:val="18"/>
              </w:rPr>
              <w:t>Los responsables de los procesos internos de evaluación y selección de candidatos a cargos de elección popular, conforme a su normativa interna;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60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XXII. </w:t>
            </w:r>
            <w:r w:rsidRPr="005C1DC9">
              <w:rPr>
                <w:i/>
                <w:sz w:val="16"/>
                <w:szCs w:val="18"/>
              </w:rPr>
              <w:t>Informes sobre el gasto del financiamiento público ordinario recibido para la capacitación, promoción y desarrollo del liderazgo político de las mujeres;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del ejercicio en curso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XXIII. </w:t>
            </w:r>
            <w:r w:rsidRPr="005C1DC9">
              <w:rPr>
                <w:i/>
                <w:sz w:val="16"/>
                <w:szCs w:val="18"/>
              </w:rPr>
              <w:t>Las resoluciones dictadas por los órganos internos de control;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XXIV. </w:t>
            </w:r>
            <w:r w:rsidRPr="005C1DC9">
              <w:rPr>
                <w:i/>
                <w:sz w:val="16"/>
                <w:szCs w:val="18"/>
              </w:rPr>
              <w:t>Los montos de financiamiento público otorgados mensualmente en cualquier modalidad, a su órgano estatal y los municipales, así como los descuentos correspondientes a sanciones;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al corte y la correspondiente a los cinco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Artículo 101 </w:t>
            </w:r>
            <w:r w:rsidRPr="005C1DC9">
              <w:rPr>
                <w:i/>
                <w:sz w:val="16"/>
                <w:szCs w:val="18"/>
              </w:rPr>
              <w:t xml:space="preserve"> </w:t>
            </w:r>
            <w:r w:rsidRPr="005C1DC9">
              <w:rPr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XXV. </w:t>
            </w:r>
            <w:r w:rsidRPr="005C1DC9">
              <w:rPr>
                <w:i/>
                <w:sz w:val="16"/>
                <w:szCs w:val="18"/>
              </w:rPr>
              <w:t>El estado de situación financiera y patrimonial, el inventario de los bienes inmuebles de los que sean propietarios, así como los anexos que formen parte integrante de los documentos anteriores;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Los formatos de inventarios de bienes inmuebles se actualizan cada semestre, o 30 días hábiles después, en caso de adquirir o dar de baja algún bien.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vigente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XXVI. </w:t>
            </w:r>
            <w:r w:rsidRPr="005C1DC9">
              <w:rPr>
                <w:i/>
                <w:sz w:val="16"/>
                <w:szCs w:val="18"/>
              </w:rPr>
              <w:t>Las resoluciones que emitan sus órganos disciplinarios de cualquier nivel, una vez que hayan causado estado;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al corte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XXVII. </w:t>
            </w:r>
            <w:r w:rsidRPr="005C1DC9">
              <w:rPr>
                <w:i/>
                <w:sz w:val="16"/>
                <w:szCs w:val="18"/>
              </w:rPr>
              <w:t>Los nombres de sus representantes ante la autoridad electoral competente;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al corte y la correspondiente a los seis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XXVIII. </w:t>
            </w:r>
            <w:r w:rsidRPr="005C1DC9">
              <w:rPr>
                <w:i/>
                <w:sz w:val="16"/>
                <w:szCs w:val="18"/>
              </w:rPr>
              <w:t xml:space="preserve">Los </w:t>
            </w:r>
            <w:r w:rsidRPr="005C1DC9">
              <w:rPr>
                <w:i/>
                <w:sz w:val="16"/>
                <w:szCs w:val="18"/>
              </w:rPr>
              <w:lastRenderedPageBreak/>
              <w:t>mecanismos de control y supervisión aplicados a los procesos internos de selección de candidatos;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 xml:space="preserve">Información al </w:t>
            </w:r>
            <w:r w:rsidRPr="005C1DC9">
              <w:rPr>
                <w:sz w:val="16"/>
                <w:szCs w:val="18"/>
              </w:rPr>
              <w:lastRenderedPageBreak/>
              <w:t>corte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lastRenderedPageBreak/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XXIX. </w:t>
            </w:r>
            <w:r w:rsidRPr="005C1DC9">
              <w:rPr>
                <w:i/>
                <w:sz w:val="16"/>
                <w:szCs w:val="18"/>
              </w:rPr>
              <w:t>El listado de fundaciones, asociaciones, centros o institutos de investigación o capacitación o cualquier otro que reciban apoyo económico de los partidos políticos, así como los montos destinados para tal efecto; y,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al corte y la correspondiente a los tres ejercicios anteriores.</w:t>
            </w:r>
          </w:p>
        </w:tc>
      </w:tr>
      <w:tr w:rsidR="009A5C58" w:rsidRPr="005C1DC9" w:rsidTr="00AF66F8"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>Artículo 101…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b/>
                <w:i/>
                <w:sz w:val="16"/>
                <w:szCs w:val="18"/>
              </w:rPr>
              <w:t xml:space="preserve">Fracción XXX. </w:t>
            </w:r>
            <w:r w:rsidRPr="005C1DC9">
              <w:rPr>
                <w:i/>
                <w:sz w:val="16"/>
                <w:szCs w:val="18"/>
              </w:rPr>
              <w:t>Las resoluciones que dicte la autoridad electoral competente respecto de los informes de ingresos y gastos.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5C58" w:rsidRPr="005C1DC9" w:rsidRDefault="009A5C58" w:rsidP="00AF66F8">
            <w:pPr>
              <w:spacing w:after="101"/>
              <w:jc w:val="center"/>
              <w:rPr>
                <w:sz w:val="16"/>
                <w:szCs w:val="18"/>
              </w:rPr>
            </w:pPr>
            <w:r w:rsidRPr="005C1DC9">
              <w:rPr>
                <w:sz w:val="16"/>
                <w:szCs w:val="18"/>
              </w:rPr>
              <w:t>Información al corte y la correspondiente a los tres ejercicios anteriores.</w:t>
            </w:r>
          </w:p>
        </w:tc>
      </w:tr>
    </w:tbl>
    <w:p w:rsidR="009A5C58" w:rsidRPr="005C1DC9" w:rsidRDefault="009A5C58" w:rsidP="009A5C58">
      <w:pPr>
        <w:pStyle w:val="texto"/>
        <w:spacing w:after="0" w:line="240" w:lineRule="auto"/>
        <w:ind w:firstLine="0"/>
        <w:rPr>
          <w:rFonts w:ascii="Arial Negrita" w:hAnsi="Arial Negrita"/>
          <w:b/>
          <w:smallCaps/>
        </w:rPr>
      </w:pPr>
    </w:p>
    <w:p w:rsidR="009A5C58" w:rsidRPr="005C1DC9" w:rsidRDefault="009A5C58" w:rsidP="009A5C58">
      <w:pPr>
        <w:pStyle w:val="texto"/>
        <w:spacing w:after="0" w:line="240" w:lineRule="auto"/>
        <w:ind w:firstLine="0"/>
        <w:rPr>
          <w:rFonts w:ascii="Arial Negrita" w:hAnsi="Arial Negrita"/>
          <w:b/>
          <w:smallCaps/>
        </w:rPr>
      </w:pPr>
    </w:p>
    <w:p w:rsidR="009A5C58" w:rsidRDefault="009A5C58" w:rsidP="009A5C58">
      <w:pPr>
        <w:tabs>
          <w:tab w:val="left" w:pos="216"/>
        </w:tabs>
        <w:jc w:val="center"/>
        <w:rPr>
          <w:b/>
          <w:sz w:val="20"/>
          <w:szCs w:val="20"/>
        </w:rPr>
      </w:pPr>
    </w:p>
    <w:p w:rsidR="009A5C58" w:rsidRPr="00174A67" w:rsidRDefault="009A5C58" w:rsidP="009A5C58">
      <w:pPr>
        <w:tabs>
          <w:tab w:val="left" w:pos="21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Tabla de a</w:t>
      </w:r>
      <w:r w:rsidRPr="00174A67">
        <w:rPr>
          <w:b/>
          <w:sz w:val="20"/>
          <w:szCs w:val="20"/>
        </w:rPr>
        <w:t xml:space="preserve">ctualización y </w:t>
      </w:r>
      <w:r>
        <w:rPr>
          <w:b/>
          <w:sz w:val="20"/>
          <w:szCs w:val="20"/>
        </w:rPr>
        <w:t>c</w:t>
      </w:r>
      <w:r w:rsidRPr="00174A67">
        <w:rPr>
          <w:b/>
          <w:sz w:val="20"/>
          <w:szCs w:val="20"/>
        </w:rPr>
        <w:t xml:space="preserve">onservación de la </w:t>
      </w:r>
      <w:r>
        <w:rPr>
          <w:b/>
          <w:sz w:val="20"/>
          <w:szCs w:val="20"/>
        </w:rPr>
        <w:t>i</w:t>
      </w:r>
      <w:r w:rsidRPr="00174A67">
        <w:rPr>
          <w:b/>
          <w:sz w:val="20"/>
          <w:szCs w:val="20"/>
        </w:rPr>
        <w:t>nformación</w:t>
      </w:r>
      <w:r>
        <w:rPr>
          <w:b/>
          <w:sz w:val="20"/>
          <w:szCs w:val="20"/>
        </w:rPr>
        <w:t xml:space="preserve"> pública de las obligaciones de transparencia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49"/>
        <w:gridCol w:w="2225"/>
        <w:gridCol w:w="1235"/>
        <w:gridCol w:w="1907"/>
        <w:gridCol w:w="1496"/>
      </w:tblGrid>
      <w:tr w:rsidR="009A5C58" w:rsidRPr="00420161" w:rsidTr="00AF66F8">
        <w:trPr>
          <w:trHeight w:val="20"/>
          <w:tblHeader/>
        </w:trPr>
        <w:tc>
          <w:tcPr>
            <w:tcW w:w="1849" w:type="dxa"/>
            <w:shd w:val="clear" w:color="auto" w:fill="auto"/>
            <w:noWrap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b/>
                <w:sz w:val="14"/>
                <w:szCs w:val="18"/>
              </w:rPr>
            </w:pPr>
            <w:r w:rsidRPr="00420161">
              <w:rPr>
                <w:b/>
                <w:sz w:val="14"/>
                <w:szCs w:val="18"/>
              </w:rPr>
              <w:t>Artículo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b/>
                <w:sz w:val="14"/>
                <w:szCs w:val="18"/>
              </w:rPr>
            </w:pPr>
            <w:r w:rsidRPr="00420161">
              <w:rPr>
                <w:b/>
                <w:sz w:val="14"/>
                <w:szCs w:val="18"/>
              </w:rPr>
              <w:t>Fracción/inciso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b/>
                <w:sz w:val="14"/>
                <w:szCs w:val="18"/>
              </w:rPr>
            </w:pPr>
            <w:r w:rsidRPr="00420161">
              <w:rPr>
                <w:b/>
                <w:sz w:val="14"/>
                <w:szCs w:val="18"/>
              </w:rPr>
              <w:t>Periodo de actualización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b/>
                <w:sz w:val="14"/>
                <w:szCs w:val="18"/>
              </w:rPr>
            </w:pPr>
            <w:r w:rsidRPr="00420161">
              <w:rPr>
                <w:b/>
                <w:sz w:val="14"/>
                <w:szCs w:val="18"/>
              </w:rPr>
              <w:t>Observaciones acerca de la información a publicar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b/>
                <w:sz w:val="14"/>
                <w:szCs w:val="18"/>
              </w:rPr>
            </w:pPr>
            <w:r w:rsidRPr="00420161">
              <w:rPr>
                <w:b/>
                <w:sz w:val="14"/>
                <w:szCs w:val="18"/>
              </w:rPr>
              <w:t>Periodo de Conservación de la información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i/>
                <w:sz w:val="14"/>
                <w:szCs w:val="18"/>
              </w:rPr>
              <w:t xml:space="preserve">Artículo 95  </w:t>
            </w:r>
            <w:proofErr w:type="spellStart"/>
            <w:r w:rsidRPr="00420161">
              <w:rPr>
                <w:i/>
                <w:sz w:val="14"/>
                <w:szCs w:val="18"/>
              </w:rPr>
              <w:t>LTAIPES</w:t>
            </w:r>
            <w:proofErr w:type="spellEnd"/>
            <w:r w:rsidRPr="00420161">
              <w:rPr>
                <w:i/>
                <w:sz w:val="14"/>
                <w:szCs w:val="18"/>
              </w:rPr>
              <w:t>. Los sujetos obligados pondrán a disposición del público y actualizarán en forma permanente la información en los respectivos medios electrónicos, de acuerdo con sus facultades, atribuciones, funciones u objeto social según corresponda, por lo menos de los temas, documentos y políticas que a continuación se señalan:</w:t>
            </w:r>
          </w:p>
        </w:tc>
        <w:tc>
          <w:tcPr>
            <w:tcW w:w="2225" w:type="dxa"/>
            <w:vAlign w:val="center"/>
          </w:tcPr>
          <w:p w:rsidR="009A5C58" w:rsidRPr="00174A67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174A67">
              <w:rPr>
                <w:b/>
                <w:i/>
                <w:sz w:val="14"/>
                <w:szCs w:val="18"/>
              </w:rPr>
              <w:t xml:space="preserve">Fracción </w:t>
            </w:r>
            <w:r w:rsidRPr="00174A67">
              <w:rPr>
                <w:b/>
                <w:i/>
                <w:sz w:val="14"/>
                <w:szCs w:val="14"/>
              </w:rPr>
              <w:t xml:space="preserve">I. </w:t>
            </w:r>
            <w:r w:rsidRPr="00174A67">
              <w:rPr>
                <w:i/>
                <w:sz w:val="14"/>
                <w:szCs w:val="14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 xml:space="preserve">Trimestral 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En su caso, 15 días hábiles después de la aprobación de alguna modificación</w:t>
            </w:r>
            <w:r>
              <w:rPr>
                <w:sz w:val="14"/>
                <w:szCs w:val="18"/>
              </w:rPr>
              <w:t xml:space="preserve"> a la estructura orgánica</w:t>
            </w:r>
            <w:r w:rsidRPr="00420161">
              <w:rPr>
                <w:sz w:val="14"/>
                <w:szCs w:val="18"/>
              </w:rPr>
              <w:t>.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b/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II. </w:t>
            </w:r>
            <w:r w:rsidRPr="00420161">
              <w:rPr>
                <w:i/>
                <w:sz w:val="14"/>
                <w:szCs w:val="18"/>
              </w:rPr>
              <w:t>Las facultades de cada área;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 xml:space="preserve">En su caso, 15 días hábiles después de la aprobación de alguna modificación. 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  <w:vAlign w:val="center"/>
          </w:tcPr>
          <w:p w:rsidR="009A5C58" w:rsidRPr="00420161" w:rsidRDefault="009A5C58" w:rsidP="00AF66F8">
            <w:pPr>
              <w:spacing w:line="248" w:lineRule="exact"/>
              <w:jc w:val="center"/>
              <w:rPr>
                <w:b/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Artículo 95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X. </w:t>
            </w:r>
            <w:r w:rsidRPr="00420161">
              <w:rPr>
                <w:i/>
                <w:sz w:val="14"/>
                <w:szCs w:val="18"/>
              </w:rPr>
              <w:t>Nombre, nombramiento, fotografía, domicilio, teléfono y correo electrónico oficiales de las personas que integran la Unidad de Transparencia y el Comité de Transparencia, así como la dirección electrónica donde podrán recibirse las solicitudes para obtener la información;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48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48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En su caso 15 días hábiles después de alguna modificación.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48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  <w:vAlign w:val="center"/>
          </w:tcPr>
          <w:p w:rsidR="009A5C58" w:rsidRPr="00420161" w:rsidRDefault="009A5C58" w:rsidP="00AF66F8">
            <w:pPr>
              <w:spacing w:line="248" w:lineRule="exact"/>
              <w:jc w:val="center"/>
              <w:rPr>
                <w:b/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XI.</w:t>
            </w:r>
            <w:r w:rsidRPr="00420161">
              <w:rPr>
                <w:i/>
                <w:sz w:val="14"/>
                <w:szCs w:val="18"/>
              </w:rPr>
              <w:t xml:space="preserve"> Las actas y resoluciones del Comité de Transparencia;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48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Semestral</w:t>
            </w:r>
            <w:r>
              <w:rPr>
                <w:sz w:val="14"/>
                <w:szCs w:val="18"/>
              </w:rPr>
              <w:t xml:space="preserve"> y trimestral</w:t>
            </w:r>
          </w:p>
        </w:tc>
        <w:tc>
          <w:tcPr>
            <w:tcW w:w="1907" w:type="dxa"/>
            <w:vAlign w:val="center"/>
          </w:tcPr>
          <w:p w:rsidR="009A5C58" w:rsidRDefault="009A5C58" w:rsidP="00AF66F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Semestral, respecto de las sesiones y resoluciones.</w:t>
            </w:r>
          </w:p>
          <w:p w:rsidR="009A5C58" w:rsidRDefault="009A5C58" w:rsidP="00AF66F8">
            <w:pPr>
              <w:jc w:val="center"/>
              <w:rPr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En cuanto al calendario de las sesiones a celebrar, se publicará la información en el primer trimestre del ejercicio en curso</w:t>
            </w:r>
          </w:p>
        </w:tc>
        <w:tc>
          <w:tcPr>
            <w:tcW w:w="1496" w:type="dxa"/>
            <w:vAlign w:val="center"/>
          </w:tcPr>
          <w:p w:rsidR="009A5C58" w:rsidRDefault="009A5C58" w:rsidP="00AF66F8">
            <w:pPr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al ejercicio anterior</w:t>
            </w:r>
            <w:r>
              <w:rPr>
                <w:sz w:val="14"/>
                <w:szCs w:val="18"/>
              </w:rPr>
              <w:t xml:space="preserve"> respecto a las sesiones y resoluciones</w:t>
            </w:r>
            <w:r w:rsidRPr="00420161">
              <w:rPr>
                <w:sz w:val="14"/>
                <w:szCs w:val="18"/>
              </w:rPr>
              <w:t>.</w:t>
            </w:r>
          </w:p>
          <w:p w:rsidR="009A5C58" w:rsidRDefault="009A5C58" w:rsidP="00AF66F8">
            <w:pPr>
              <w:jc w:val="center"/>
              <w:rPr>
                <w:sz w:val="14"/>
                <w:szCs w:val="18"/>
              </w:rPr>
            </w:pPr>
          </w:p>
          <w:p w:rsidR="009A5C58" w:rsidRPr="00E1084B" w:rsidRDefault="009A5C58" w:rsidP="00AF66F8">
            <w:pPr>
              <w:jc w:val="center"/>
              <w:rPr>
                <w:sz w:val="14"/>
                <w:szCs w:val="14"/>
              </w:rPr>
            </w:pPr>
            <w:r w:rsidRPr="00E1084B">
              <w:rPr>
                <w:sz w:val="14"/>
                <w:szCs w:val="14"/>
              </w:rPr>
              <w:t xml:space="preserve">Información vigente </w:t>
            </w:r>
            <w:r w:rsidRPr="00E1084B">
              <w:rPr>
                <w:sz w:val="14"/>
                <w:szCs w:val="14"/>
              </w:rPr>
              <w:lastRenderedPageBreak/>
              <w:t>respecto del calendario de sesiones a celebrar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b/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lastRenderedPageBreak/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XII.</w:t>
            </w:r>
            <w:r w:rsidRPr="00420161">
              <w:rPr>
                <w:i/>
                <w:sz w:val="14"/>
                <w:szCs w:val="18"/>
              </w:rPr>
              <w:t xml:space="preserve"> Las solicitudes de acceso a la información pública, las respuestas otorgadas a éstas, o en su caso, las respuestas entregadas por los sujetos obligados en cumplimiento de las resoluciones dictadas por la Comisión;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  <w:r>
              <w:rPr>
                <w:sz w:val="14"/>
                <w:szCs w:val="18"/>
              </w:rPr>
              <w:t xml:space="preserve">    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Información vigente y la correspondiente a tres ejercicios anteriores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b/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XIV.</w:t>
            </w:r>
            <w:r w:rsidRPr="00420161">
              <w:rPr>
                <w:i/>
                <w:sz w:val="14"/>
                <w:szCs w:val="18"/>
              </w:rPr>
              <w:t xml:space="preserve"> El catálogo de disposición y guía de archivo documental; 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Anual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174A67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174A67">
              <w:rPr>
                <w:b/>
                <w:i/>
                <w:sz w:val="14"/>
                <w:szCs w:val="18"/>
              </w:rPr>
              <w:t>Fracción XVI.</w:t>
            </w:r>
            <w:r w:rsidRPr="00174A67">
              <w:rPr>
                <w:i/>
                <w:sz w:val="14"/>
                <w:szCs w:val="18"/>
              </w:rPr>
              <w:t xml:space="preserve"> </w:t>
            </w:r>
            <w:r w:rsidRPr="00174A67">
              <w:rPr>
                <w:i/>
                <w:sz w:val="14"/>
                <w:szCs w:val="14"/>
              </w:rPr>
              <w:t>El marco normativo aplicable al sujeto obligado, en el que deberán incluirse leyes, códigos, reglamentos, decretos de creación, manuales administrativos de organización, operación, procedimientos, de calidad o de cualquier índole, reglas de operación, criterios, políticas, acuerdos o resoluciones de la Comisión en relación a sus obligaciones de transparencia, entre otros ordenamientos;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1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8F6F5B" w:rsidRDefault="009A5C58" w:rsidP="00AF66F8">
            <w:pPr>
              <w:spacing w:line="214" w:lineRule="exact"/>
              <w:jc w:val="center"/>
              <w:rPr>
                <w:sz w:val="14"/>
                <w:szCs w:val="14"/>
              </w:rPr>
            </w:pPr>
            <w:r w:rsidRPr="008F6F5B">
              <w:rPr>
                <w:sz w:val="14"/>
                <w:szCs w:val="14"/>
              </w:rPr>
              <w:t>Únicamente cuando se expida alguna reforma, adición, derogación, abrogación o se realice cualquier tipo de modificación al  marco normativo aplicable al sujeto obligado, la información deberá publicarse y/o actualizarse en un plazo no mayor a 15 días hábiles a partir de su publicación en el</w:t>
            </w:r>
            <w:r w:rsidRPr="008F6F5B">
              <w:rPr>
                <w:color w:val="E36C0A"/>
                <w:sz w:val="14"/>
                <w:szCs w:val="14"/>
              </w:rPr>
              <w:t xml:space="preserve"> </w:t>
            </w:r>
            <w:r w:rsidRPr="008F6F5B">
              <w:rPr>
                <w:sz w:val="14"/>
                <w:szCs w:val="14"/>
              </w:rPr>
              <w:t>Periódico o Gaceta Oficial, o acuerdo de aprobación en el caso de normas publicadas por medios distintos, como el sitio de Internet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1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XVII.</w:t>
            </w:r>
            <w:r w:rsidRPr="00420161">
              <w:rPr>
                <w:i/>
                <w:sz w:val="14"/>
                <w:szCs w:val="18"/>
              </w:rPr>
              <w:t xml:space="preserve"> Las condiciones generales de trabajo, contratos o convenios que regulen las relaciones laborales del personal de base o de confianza, así como los recursos públicos económicos, en especie o donativos que sean entregados a los sindicatos y ejerzan como recursos públicos;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1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1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Cuando se establezca, modifique o derogue cualquier norma laboral aplicable al sujeto obligado, la información normativa deberá actualizarse en un plazo no mayor a 15 días hábiles a partir de su publicación y/o aprobación.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1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En cuanto a la normatividad, la información vigente; respecto a los recursos entregados a sindicatos,</w:t>
            </w:r>
            <w:r>
              <w:rPr>
                <w:sz w:val="14"/>
                <w:szCs w:val="18"/>
              </w:rPr>
              <w:t xml:space="preserve"> la</w:t>
            </w:r>
            <w:r w:rsidRPr="00420161">
              <w:rPr>
                <w:sz w:val="14"/>
                <w:szCs w:val="18"/>
              </w:rPr>
              <w:t xml:space="preserve"> información del ejercicio en curso y la correspondiente a los dos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XVIII. </w:t>
            </w:r>
            <w:r w:rsidRPr="00420161">
              <w:rPr>
                <w:i/>
                <w:sz w:val="14"/>
                <w:szCs w:val="18"/>
              </w:rPr>
              <w:t>Los convenios suscritos con los sectores social y privado;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  <w:r>
              <w:rPr>
                <w:sz w:val="14"/>
                <w:szCs w:val="18"/>
              </w:rPr>
              <w:t xml:space="preserve">        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</w:t>
            </w:r>
            <w:r>
              <w:rPr>
                <w:sz w:val="14"/>
                <w:szCs w:val="18"/>
              </w:rPr>
              <w:t xml:space="preserve"> y</w:t>
            </w:r>
            <w:r w:rsidRPr="00420161">
              <w:rPr>
                <w:sz w:val="14"/>
                <w:szCs w:val="18"/>
              </w:rPr>
              <w:t xml:space="preserve"> la correspondiente al ejercicio anterior y los instrumentos jurídicos vigentes aun cuando éstos sean de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XIX. </w:t>
            </w:r>
            <w:r w:rsidRPr="00420161">
              <w:rPr>
                <w:i/>
                <w:sz w:val="14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 xml:space="preserve">Información generada en el ejercicio en curso a partir de la notificación de la recomendación y/o </w:t>
            </w:r>
            <w:r w:rsidRPr="00420161">
              <w:rPr>
                <w:sz w:val="14"/>
                <w:szCs w:val="18"/>
              </w:rPr>
              <w:lastRenderedPageBreak/>
              <w:t>sentencia. Una vez concluido el seguimiento de la recomendación y/o sentencia, conservar la información durante dos ejercicios.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XX. </w:t>
            </w:r>
            <w:r w:rsidRPr="00420161">
              <w:rPr>
                <w:i/>
                <w:sz w:val="14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  <w:r>
              <w:rPr>
                <w:sz w:val="14"/>
                <w:szCs w:val="18"/>
              </w:rPr>
              <w:t xml:space="preserve">   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al ejercicio anterior.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XXII.</w:t>
            </w:r>
            <w:r w:rsidRPr="00420161">
              <w:rPr>
                <w:i/>
                <w:sz w:val="14"/>
                <w:szCs w:val="18"/>
              </w:rPr>
              <w:t xml:space="preserve"> Informe de avances programáticos o presupuestales, balances generales y su estado financiero;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A más tardar 30 días naturales después del cierre del periodo que corresponda.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 los últimos seis ejercicios.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XXIII.</w:t>
            </w:r>
            <w:r w:rsidRPr="00420161">
              <w:rPr>
                <w:i/>
                <w:sz w:val="14"/>
                <w:szCs w:val="18"/>
              </w:rPr>
              <w:t xml:space="preserve"> Los ingresos recibidos por cualquier concepto señalando el nombre de los responsables de recibirlos, administrarlos y ejercerlos, indicando el destino de cada uno de ellos;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 y la correspondiente a dos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XXIV.</w:t>
            </w:r>
            <w:r w:rsidRPr="00420161">
              <w:rPr>
                <w:i/>
                <w:sz w:val="14"/>
                <w:szCs w:val="18"/>
              </w:rPr>
              <w:t xml:space="preserve"> Relación de personas físicas y morales que hayan recibido recursos públicos, incluyendo fecha, nombre o razón social, la descripción del concepto y monto;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 y la de los últimos cinco ejercicios fiscales.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XXVI. </w:t>
            </w:r>
            <w:r w:rsidRPr="00420161">
              <w:rPr>
                <w:i/>
                <w:sz w:val="14"/>
                <w:szCs w:val="18"/>
              </w:rPr>
              <w:t>Las contrataciones de servicios profesionales por honorarios, señalando los nombres de los prestadores de servicios, los servicios contratados o subcontratados por estos, el monto de los honorarios y el periodo de contratación;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al ejercicio anterior.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XXVII.</w:t>
            </w:r>
            <w:r w:rsidRPr="00420161">
              <w:rPr>
                <w:i/>
                <w:sz w:val="14"/>
                <w:szCs w:val="18"/>
              </w:rPr>
              <w:t xml:space="preserve"> El listado de jubilados y pensionados, y el monto que reciben;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al ejercicio anterior.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XXVIII.</w:t>
            </w:r>
            <w:r w:rsidRPr="00420161">
              <w:rPr>
                <w:i/>
                <w:sz w:val="14"/>
                <w:szCs w:val="18"/>
              </w:rPr>
              <w:t xml:space="preserve"> Los montos destinados a gastos relativos a comunicación social y publicidad oficial desglosada por fecha, tipo de medio, proveedores, número de contrato y concepto o campaña;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Anual, respecto al Programa de Comunicación Social o equivalente.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 dos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XXIX.</w:t>
            </w:r>
            <w:r w:rsidRPr="00420161">
              <w:rPr>
                <w:i/>
                <w:sz w:val="14"/>
                <w:szCs w:val="18"/>
              </w:rPr>
              <w:t xml:space="preserve"> Relación de arrendamientos desglosado por nombre del arrendador, uso del inmueble, ubicación e importe mensual de la renta;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4"/>
              </w:rPr>
              <w:t>Información correspondiente al ejercicio fiscal en curso, así como lo relativo a los últimos cinco ejercicios fiscales</w:t>
            </w:r>
            <w:r w:rsidRPr="00420161">
              <w:rPr>
                <w:sz w:val="14"/>
                <w:szCs w:val="18"/>
              </w:rPr>
              <w:t>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lastRenderedPageBreak/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lastRenderedPageBreak/>
              <w:t>Fracción XXXII.</w:t>
            </w:r>
            <w:r w:rsidRPr="00420161">
              <w:rPr>
                <w:i/>
                <w:sz w:val="14"/>
                <w:szCs w:val="18"/>
              </w:rPr>
              <w:t xml:space="preserve"> Padrón de vehículos oficiales o con arrendamiento desglosado por </w:t>
            </w:r>
            <w:r w:rsidRPr="00420161">
              <w:rPr>
                <w:i/>
                <w:sz w:val="14"/>
                <w:szCs w:val="18"/>
              </w:rPr>
              <w:lastRenderedPageBreak/>
              <w:t>marca, tipo, color, modelo y responsable del resguardo;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lastRenderedPageBreak/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4"/>
              </w:rPr>
              <w:t xml:space="preserve">Información del ejercicio en curso y la </w:t>
            </w:r>
            <w:r w:rsidRPr="00420161">
              <w:rPr>
                <w:sz w:val="14"/>
                <w:szCs w:val="14"/>
              </w:rPr>
              <w:lastRenderedPageBreak/>
              <w:t>correspondiente a dos ejercicios anteriores</w:t>
            </w:r>
            <w:r w:rsidRPr="00420161">
              <w:rPr>
                <w:sz w:val="14"/>
                <w:szCs w:val="18"/>
              </w:rPr>
              <w:t>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XXXIV.</w:t>
            </w:r>
            <w:r w:rsidRPr="00420161">
              <w:rPr>
                <w:i/>
                <w:sz w:val="14"/>
                <w:szCs w:val="18"/>
              </w:rPr>
              <w:t xml:space="preserve"> </w:t>
            </w:r>
            <w:r w:rsidRPr="00420161">
              <w:rPr>
                <w:i/>
                <w:sz w:val="14"/>
                <w:szCs w:val="14"/>
              </w:rPr>
              <w:t>Padrón de proveedores y contratistas que incluya dirección, teléfono y giro comercial</w:t>
            </w:r>
            <w:r w:rsidRPr="00420161">
              <w:rPr>
                <w:i/>
                <w:sz w:val="14"/>
                <w:szCs w:val="18"/>
              </w:rPr>
              <w:t>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al ejercicio inmediato anterior.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XXXV. </w:t>
            </w:r>
            <w:r w:rsidRPr="00420161">
              <w:rPr>
                <w:i/>
                <w:sz w:val="14"/>
                <w:szCs w:val="18"/>
              </w:rPr>
              <w:t>El inventario de bienes muebles e inmuebles en posesión y propiedad;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Semestral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 xml:space="preserve">En su caso, 30 días hábiles después de adquirir o dar de baja algún bien. </w:t>
            </w:r>
          </w:p>
        </w:tc>
        <w:tc>
          <w:tcPr>
            <w:tcW w:w="1496" w:type="dxa"/>
            <w:vAlign w:val="center"/>
          </w:tcPr>
          <w:p w:rsidR="009A5C58" w:rsidRPr="00B51926" w:rsidRDefault="009A5C58" w:rsidP="00AF66F8">
            <w:pPr>
              <w:pStyle w:val="TableParagraph"/>
              <w:ind w:left="71" w:right="72" w:firstLine="1"/>
              <w:jc w:val="center"/>
              <w:rPr>
                <w:sz w:val="14"/>
              </w:rPr>
            </w:pPr>
            <w:r w:rsidRPr="00B51926">
              <w:rPr>
                <w:sz w:val="14"/>
              </w:rPr>
              <w:t>Información vigente respecto al inventario de bienes muebles e inmuebles. En cuanto al inventario de altas y bajas, así como los bienes muebles e inmuebles donados, se conse</w:t>
            </w:r>
            <w:r>
              <w:rPr>
                <w:sz w:val="14"/>
              </w:rPr>
              <w:t>rvará la información vigente y</w:t>
            </w:r>
            <w:r w:rsidRPr="00B51926">
              <w:rPr>
                <w:sz w:val="14"/>
              </w:rPr>
              <w:t xml:space="preserve"> la correspondiente</w:t>
            </w:r>
            <w:r>
              <w:rPr>
                <w:sz w:val="14"/>
              </w:rPr>
              <w:t xml:space="preserve"> </w:t>
            </w:r>
            <w:r w:rsidRPr="00B51926">
              <w:rPr>
                <w:sz w:val="14"/>
              </w:rPr>
              <w:t>al semestre anterior concluido</w:t>
            </w:r>
            <w:r w:rsidRPr="00B51926">
              <w:rPr>
                <w:sz w:val="14"/>
                <w:szCs w:val="18"/>
              </w:rPr>
              <w:t>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XXXVII. </w:t>
            </w:r>
            <w:r w:rsidRPr="00420161">
              <w:rPr>
                <w:i/>
                <w:sz w:val="14"/>
                <w:szCs w:val="18"/>
              </w:rPr>
              <w:t>El resultado de los dictámenes de los estados financieros;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Anual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4"/>
              </w:rPr>
              <w:t xml:space="preserve">En su caso, 15 días hábiles después de que el contador público independiente entregue una </w:t>
            </w:r>
            <w:proofErr w:type="spellStart"/>
            <w:r w:rsidRPr="00420161">
              <w:rPr>
                <w:sz w:val="14"/>
                <w:szCs w:val="14"/>
              </w:rPr>
              <w:t>dictaminación</w:t>
            </w:r>
            <w:proofErr w:type="spellEnd"/>
            <w:r w:rsidRPr="00420161">
              <w:rPr>
                <w:sz w:val="14"/>
                <w:szCs w:val="14"/>
              </w:rPr>
              <w:t xml:space="preserve"> especial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 xml:space="preserve">Información </w:t>
            </w:r>
            <w:r>
              <w:rPr>
                <w:sz w:val="14"/>
                <w:szCs w:val="18"/>
              </w:rPr>
              <w:t>de seis</w:t>
            </w:r>
            <w:r w:rsidRPr="00420161">
              <w:rPr>
                <w:sz w:val="14"/>
                <w:szCs w:val="18"/>
              </w:rPr>
              <w:t xml:space="preserve"> ejercicios </w:t>
            </w:r>
            <w:r>
              <w:rPr>
                <w:sz w:val="14"/>
                <w:szCs w:val="18"/>
              </w:rPr>
              <w:t>anteriores</w:t>
            </w:r>
            <w:r w:rsidRPr="00420161">
              <w:rPr>
                <w:sz w:val="14"/>
                <w:szCs w:val="18"/>
              </w:rPr>
              <w:t>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XXXVIII.</w:t>
            </w:r>
            <w:r w:rsidRPr="00420161">
              <w:rPr>
                <w:i/>
                <w:sz w:val="14"/>
                <w:szCs w:val="18"/>
              </w:rPr>
              <w:t xml:space="preserve">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generada en el ejercicio en curso y la correspondiente a los tres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XL.</w:t>
            </w:r>
            <w:r w:rsidRPr="00420161">
              <w:rPr>
                <w:i/>
                <w:sz w:val="14"/>
                <w:szCs w:val="18"/>
              </w:rPr>
              <w:t xml:space="preserve"> Los servicios que ofrecen señalando los requisitos para acceder a ellos;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XLI.</w:t>
            </w:r>
            <w:r w:rsidRPr="00420161">
              <w:rPr>
                <w:i/>
                <w:sz w:val="14"/>
                <w:szCs w:val="18"/>
              </w:rPr>
              <w:t xml:space="preserve"> Los trámites, requisitos y formatos que ofrecen;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5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vigente.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XLV. </w:t>
            </w:r>
            <w:r w:rsidRPr="00420161">
              <w:rPr>
                <w:i/>
                <w:sz w:val="14"/>
                <w:szCs w:val="18"/>
              </w:rPr>
              <w:t>Las concesiones, contratos, convenios, permisos, licencias o autorizaciones otorgados; especificando los titulares de aquellos,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 dos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XLVI.</w:t>
            </w:r>
            <w:r w:rsidRPr="00420161">
              <w:rPr>
                <w:i/>
                <w:sz w:val="14"/>
                <w:szCs w:val="18"/>
              </w:rPr>
              <w:t xml:space="preserve"> Los informes que por disposición legal generen los sujetos obligados y el informe anual que deben rendir sobre las acciones de implementación de esta Ley;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 dos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XLVII.</w:t>
            </w:r>
            <w:r w:rsidRPr="00420161">
              <w:rPr>
                <w:i/>
                <w:sz w:val="14"/>
                <w:szCs w:val="18"/>
              </w:rPr>
              <w:t xml:space="preserve"> Las estadísticas que generen en cumplimiento de sus facultades, competencias o funciones con la mayor desagregación posible;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12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generada en el ejercicio en curso y la correspondiente a los últimos seis ejercicios.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XLVIII. </w:t>
            </w:r>
            <w:r w:rsidRPr="00420161">
              <w:rPr>
                <w:i/>
                <w:sz w:val="14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Anual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Durante el primer trimestre del ejercicio en curso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la correspondiente a los</w:t>
            </w:r>
            <w:r>
              <w:rPr>
                <w:sz w:val="14"/>
                <w:szCs w:val="18"/>
              </w:rPr>
              <w:t xml:space="preserve"> últimos</w:t>
            </w:r>
            <w:r w:rsidRPr="00420161">
              <w:rPr>
                <w:sz w:val="14"/>
                <w:szCs w:val="18"/>
              </w:rPr>
              <w:t xml:space="preserve"> seis ejercicios anteriores.</w:t>
            </w:r>
          </w:p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XLIX. </w:t>
            </w:r>
            <w:r w:rsidRPr="00420161">
              <w:rPr>
                <w:i/>
                <w:sz w:val="14"/>
                <w:szCs w:val="18"/>
              </w:rPr>
              <w:t>Los indicadores que permitan rendir cuenta de sus objetivos y resultados;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la correspondiente a los seis e</w:t>
            </w:r>
            <w:r>
              <w:rPr>
                <w:sz w:val="14"/>
                <w:szCs w:val="18"/>
              </w:rPr>
              <w:t>jercicios anteriores</w:t>
            </w:r>
            <w:r w:rsidRPr="00420161">
              <w:rPr>
                <w:sz w:val="14"/>
                <w:szCs w:val="18"/>
              </w:rPr>
              <w:t>.</w:t>
            </w:r>
          </w:p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spacing w:line="276" w:lineRule="auto"/>
              <w:jc w:val="center"/>
              <w:rPr>
                <w:b/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 xml:space="preserve">Fracción L. </w:t>
            </w:r>
            <w:r w:rsidRPr="00420161">
              <w:rPr>
                <w:i/>
                <w:sz w:val="14"/>
                <w:szCs w:val="18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la correspondiente a los seis ejercicios anteriores.</w:t>
            </w:r>
          </w:p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LI.</w:t>
            </w:r>
            <w:r w:rsidRPr="00420161">
              <w:rPr>
                <w:i/>
                <w:sz w:val="14"/>
                <w:szCs w:val="18"/>
              </w:rPr>
              <w:t xml:space="preserve"> Los estudios financiados con recursos públicos;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En su caso, 30 días hábiles después de publicar los resultados del estudio.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 dos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LII.</w:t>
            </w:r>
            <w:r w:rsidRPr="00420161">
              <w:rPr>
                <w:i/>
                <w:sz w:val="14"/>
                <w:szCs w:val="18"/>
              </w:rPr>
              <w:t xml:space="preserve"> Los mecanismos de participación ciudadana;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224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del ejercicio en curso y la correspondiente al ejercicio anterior.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LIII.</w:t>
            </w:r>
            <w:r w:rsidRPr="00420161">
              <w:rPr>
                <w:i/>
                <w:sz w:val="14"/>
                <w:szCs w:val="18"/>
              </w:rPr>
              <w:t xml:space="preserve"> Las actas de sesiones ordinarias y extraordinarias, así como las opiniones y recomendaciones que emitan, en su caso, los consejos consultivos, comités técnicos y juntas directivas o de gobierno;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que se genere en el ejercicio en curso y la correspondiente al ejercicio anterior.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t>Fracción LIV.</w:t>
            </w:r>
            <w:r w:rsidRPr="00420161">
              <w:rPr>
                <w:i/>
                <w:sz w:val="14"/>
                <w:szCs w:val="18"/>
              </w:rPr>
              <w:t xml:space="preserve">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  en su caso, la mención de que cuenta con la autorización judicial correspondiente; y,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Información que se genere en el ejercicio en curso y la correspondiente a los dos ejercicios anteriores.</w:t>
            </w: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</w:tcPr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  <w:rPr>
                <w:b/>
                <w:i/>
                <w:sz w:val="14"/>
                <w:szCs w:val="18"/>
              </w:rPr>
            </w:pPr>
          </w:p>
          <w:p w:rsidR="009A5C58" w:rsidRPr="00420161" w:rsidRDefault="009A5C58" w:rsidP="00AF66F8">
            <w:pPr>
              <w:jc w:val="center"/>
            </w:pPr>
            <w:r w:rsidRPr="00420161">
              <w:rPr>
                <w:b/>
                <w:i/>
                <w:sz w:val="14"/>
                <w:szCs w:val="18"/>
              </w:rPr>
              <w:t>Artículo 95  …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b/>
                <w:i/>
                <w:sz w:val="14"/>
                <w:szCs w:val="18"/>
              </w:rPr>
              <w:lastRenderedPageBreak/>
              <w:t xml:space="preserve">Fracción LV. </w:t>
            </w:r>
            <w:r w:rsidRPr="00420161">
              <w:rPr>
                <w:i/>
                <w:sz w:val="14"/>
                <w:szCs w:val="18"/>
              </w:rPr>
              <w:t xml:space="preserve">Cualquier otra </w:t>
            </w:r>
            <w:r w:rsidRPr="00420161">
              <w:rPr>
                <w:i/>
                <w:sz w:val="14"/>
                <w:szCs w:val="18"/>
              </w:rPr>
              <w:lastRenderedPageBreak/>
              <w:t>información que sea de utilidad o se considere relevante, además de la que con base en la información estadística responda a las preguntas hechas con más frecuencia por el público.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lastRenderedPageBreak/>
              <w:t>Trimestral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lastRenderedPageBreak/>
              <w:t>Información vigente.</w:t>
            </w:r>
          </w:p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</w:p>
        </w:tc>
      </w:tr>
      <w:tr w:rsidR="009A5C58" w:rsidRPr="00420161" w:rsidTr="00AF66F8">
        <w:trPr>
          <w:trHeight w:val="20"/>
        </w:trPr>
        <w:tc>
          <w:tcPr>
            <w:tcW w:w="1849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b/>
                <w:sz w:val="14"/>
                <w:szCs w:val="18"/>
              </w:rPr>
            </w:pPr>
            <w:r w:rsidRPr="00420161">
              <w:rPr>
                <w:b/>
                <w:sz w:val="14"/>
                <w:szCs w:val="18"/>
              </w:rPr>
              <w:lastRenderedPageBreak/>
              <w:t>Último párrafo del  Artículo 95</w:t>
            </w:r>
          </w:p>
        </w:tc>
        <w:tc>
          <w:tcPr>
            <w:tcW w:w="2225" w:type="dxa"/>
            <w:vAlign w:val="center"/>
          </w:tcPr>
          <w:p w:rsidR="009A5C58" w:rsidRPr="00420161" w:rsidRDefault="009A5C58" w:rsidP="00AF66F8">
            <w:pPr>
              <w:spacing w:line="276" w:lineRule="auto"/>
              <w:jc w:val="center"/>
              <w:rPr>
                <w:i/>
                <w:sz w:val="14"/>
                <w:szCs w:val="18"/>
              </w:rPr>
            </w:pPr>
            <w:r w:rsidRPr="00420161">
              <w:rPr>
                <w:i/>
                <w:sz w:val="14"/>
                <w:szCs w:val="18"/>
              </w:rPr>
              <w:t>Los sujetos obligados deberán informar a la Comisión cuáles son los rubros que son aplicables a sus páginas de internet, con el objeto de que ésta verifique y apruebe, de forma fundada y motivada, la relación de fracciones aplicables a cada sujeto obligado, mismas que deberán ser publicadas en la Plataforma Nacional.</w:t>
            </w:r>
          </w:p>
        </w:tc>
        <w:tc>
          <w:tcPr>
            <w:tcW w:w="1235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Anual</w:t>
            </w:r>
          </w:p>
        </w:tc>
        <w:tc>
          <w:tcPr>
            <w:tcW w:w="1907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>o---o</w:t>
            </w:r>
          </w:p>
        </w:tc>
        <w:tc>
          <w:tcPr>
            <w:tcW w:w="1496" w:type="dxa"/>
            <w:vAlign w:val="center"/>
          </w:tcPr>
          <w:p w:rsidR="009A5C58" w:rsidRPr="00420161" w:rsidRDefault="009A5C58" w:rsidP="00AF66F8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420161">
              <w:rPr>
                <w:sz w:val="14"/>
                <w:szCs w:val="18"/>
              </w:rPr>
              <w:t xml:space="preserve">Información vigente y la generada en el ejercicio en </w:t>
            </w:r>
            <w:bookmarkStart w:id="0" w:name="_GoBack"/>
            <w:bookmarkEnd w:id="0"/>
            <w:r w:rsidRPr="00420161">
              <w:rPr>
                <w:sz w:val="14"/>
                <w:szCs w:val="18"/>
              </w:rPr>
              <w:t>curso.</w:t>
            </w:r>
          </w:p>
        </w:tc>
      </w:tr>
    </w:tbl>
    <w:p w:rsidR="00E01C6E" w:rsidRDefault="00E01C6E"/>
    <w:sectPr w:rsidR="00E01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58"/>
    <w:rsid w:val="004B4C19"/>
    <w:rsid w:val="006C345D"/>
    <w:rsid w:val="007A7EC1"/>
    <w:rsid w:val="009A5C58"/>
    <w:rsid w:val="00E01C6E"/>
    <w:rsid w:val="00E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5C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9A5C58"/>
    <w:pPr>
      <w:widowControl/>
      <w:autoSpaceDE/>
      <w:autoSpaceDN/>
      <w:snapToGrid w:val="0"/>
      <w:spacing w:after="101" w:line="216" w:lineRule="exact"/>
      <w:ind w:firstLine="288"/>
      <w:jc w:val="both"/>
    </w:pPr>
    <w:rPr>
      <w:rFonts w:eastAsia="Times New Roman"/>
      <w:sz w:val="18"/>
      <w:szCs w:val="18"/>
      <w:lang w:eastAsia="es-ES"/>
    </w:rPr>
  </w:style>
  <w:style w:type="paragraph" w:customStyle="1" w:styleId="TableParagraph">
    <w:name w:val="Table Paragraph"/>
    <w:basedOn w:val="Normal"/>
    <w:uiPriority w:val="1"/>
    <w:qFormat/>
    <w:rsid w:val="009A5C58"/>
  </w:style>
  <w:style w:type="paragraph" w:styleId="Textodeglobo">
    <w:name w:val="Balloon Text"/>
    <w:basedOn w:val="Normal"/>
    <w:link w:val="TextodegloboCar"/>
    <w:uiPriority w:val="99"/>
    <w:semiHidden/>
    <w:unhideWhenUsed/>
    <w:rsid w:val="009A5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5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5C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9A5C58"/>
    <w:pPr>
      <w:widowControl/>
      <w:autoSpaceDE/>
      <w:autoSpaceDN/>
      <w:snapToGrid w:val="0"/>
      <w:spacing w:after="101" w:line="216" w:lineRule="exact"/>
      <w:ind w:firstLine="288"/>
      <w:jc w:val="both"/>
    </w:pPr>
    <w:rPr>
      <w:rFonts w:eastAsia="Times New Roman"/>
      <w:sz w:val="18"/>
      <w:szCs w:val="18"/>
      <w:lang w:eastAsia="es-ES"/>
    </w:rPr>
  </w:style>
  <w:style w:type="paragraph" w:customStyle="1" w:styleId="TableParagraph">
    <w:name w:val="Table Paragraph"/>
    <w:basedOn w:val="Normal"/>
    <w:uiPriority w:val="1"/>
    <w:qFormat/>
    <w:rsid w:val="009A5C58"/>
  </w:style>
  <w:style w:type="paragraph" w:styleId="Textodeglobo">
    <w:name w:val="Balloon Text"/>
    <w:basedOn w:val="Normal"/>
    <w:link w:val="TextodegloboCar"/>
    <w:uiPriority w:val="99"/>
    <w:semiHidden/>
    <w:unhideWhenUsed/>
    <w:rsid w:val="009A5C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5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3282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2019-01-31T17:47:00Z</cp:lastPrinted>
  <dcterms:created xsi:type="dcterms:W3CDTF">2019-01-31T17:45:00Z</dcterms:created>
  <dcterms:modified xsi:type="dcterms:W3CDTF">2019-01-31T17:58:00Z</dcterms:modified>
</cp:coreProperties>
</file>